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BF6D41" w:rsidRPr="00F55AD7" w14:paraId="37F1F6E1" w14:textId="77777777" w:rsidTr="002251A9">
        <w:trPr>
          <w:trHeight w:hRule="exact" w:val="2948"/>
        </w:trPr>
        <w:tc>
          <w:tcPr>
            <w:tcW w:w="11185" w:type="dxa"/>
          </w:tcPr>
          <w:p w14:paraId="691A7B1D" w14:textId="77777777" w:rsidR="00BF6D41" w:rsidRPr="00BF6D41" w:rsidRDefault="00BF6D41" w:rsidP="002251A9">
            <w:pPr>
              <w:pStyle w:val="Documenttype"/>
            </w:pPr>
            <w:bookmarkStart w:id="0" w:name="_Hlk60299461"/>
            <w:r w:rsidRPr="00BF6D41">
              <w:t>I</w:t>
            </w:r>
            <w:bookmarkStart w:id="1" w:name="_Ref446317644"/>
            <w:bookmarkEnd w:id="1"/>
            <w:r w:rsidRPr="00BF6D41">
              <w:t>ALA Recommendation</w:t>
            </w:r>
          </w:p>
        </w:tc>
      </w:tr>
      <w:bookmarkEnd w:id="0"/>
    </w:tbl>
    <w:p w14:paraId="5898EC6E" w14:textId="77777777" w:rsidR="00784C66" w:rsidRDefault="00784C66" w:rsidP="00BF6D41"/>
    <w:p w14:paraId="7DB317DE" w14:textId="77777777" w:rsidR="00D74AE1" w:rsidRPr="00405755" w:rsidRDefault="00D74AE1" w:rsidP="00BF6D41"/>
    <w:p w14:paraId="5AA78CAB" w14:textId="77777777" w:rsidR="0019707C" w:rsidRDefault="0019707C" w:rsidP="008B14DC">
      <w:pPr>
        <w:pStyle w:val="Documentnumber"/>
      </w:pPr>
      <w:r w:rsidRPr="008B14DC">
        <w:t>Rnnnn</w:t>
      </w:r>
    </w:p>
    <w:p w14:paraId="68CC610C" w14:textId="033E73A3" w:rsidR="00776004" w:rsidRPr="00405755" w:rsidRDefault="007C7EC8" w:rsidP="00564664">
      <w:pPr>
        <w:pStyle w:val="Documentname"/>
      </w:pPr>
      <w:r>
        <w:t>VDE Protocol Format Identifier</w:t>
      </w:r>
      <w:r w:rsidR="00A11BFC">
        <w:t>S</w:t>
      </w:r>
    </w:p>
    <w:p w14:paraId="03B3FCE7" w14:textId="77777777" w:rsidR="005378B8" w:rsidRPr="00405755" w:rsidRDefault="005378B8" w:rsidP="00AA235F"/>
    <w:p w14:paraId="2AF9E0D8" w14:textId="77777777" w:rsidR="005378B8" w:rsidRPr="00405755" w:rsidRDefault="005378B8" w:rsidP="00AA235F"/>
    <w:p w14:paraId="4F33776A" w14:textId="77777777" w:rsidR="005378B8" w:rsidRPr="00405755" w:rsidRDefault="005378B8" w:rsidP="00AA235F"/>
    <w:p w14:paraId="0478F926" w14:textId="77777777" w:rsidR="005378B8" w:rsidRPr="00405755" w:rsidRDefault="005378B8" w:rsidP="00AA235F"/>
    <w:p w14:paraId="2FFADFE7" w14:textId="77777777" w:rsidR="005378B8" w:rsidRPr="00405755" w:rsidRDefault="005378B8" w:rsidP="00AA235F"/>
    <w:p w14:paraId="466C6421" w14:textId="77777777" w:rsidR="005378B8" w:rsidRPr="00405755" w:rsidRDefault="005378B8" w:rsidP="00AA235F"/>
    <w:p w14:paraId="474A1D34" w14:textId="77777777" w:rsidR="005378B8" w:rsidRPr="00405755" w:rsidRDefault="005378B8" w:rsidP="00AA235F"/>
    <w:p w14:paraId="014F3E38" w14:textId="77777777" w:rsidR="005378B8" w:rsidRPr="00405755" w:rsidRDefault="005378B8" w:rsidP="00AA235F"/>
    <w:p w14:paraId="58129427" w14:textId="77777777" w:rsidR="005378B8" w:rsidRDefault="005378B8" w:rsidP="00AA235F"/>
    <w:p w14:paraId="5BCA83A5" w14:textId="77777777" w:rsidR="00471C48" w:rsidRPr="00405755" w:rsidRDefault="00471C48" w:rsidP="00AA235F"/>
    <w:p w14:paraId="03293054" w14:textId="77777777" w:rsidR="005378B8" w:rsidRDefault="005378B8" w:rsidP="00AA235F"/>
    <w:p w14:paraId="5E2FC2C2" w14:textId="77777777" w:rsidR="00AA235F" w:rsidRDefault="00AA235F" w:rsidP="00AA235F"/>
    <w:p w14:paraId="694F67D0" w14:textId="77777777" w:rsidR="00AA235F" w:rsidRDefault="00AA235F" w:rsidP="00AA235F"/>
    <w:p w14:paraId="264E9784" w14:textId="77777777" w:rsidR="00AA235F" w:rsidRDefault="00AA235F" w:rsidP="00AA235F"/>
    <w:p w14:paraId="30176D95" w14:textId="77777777" w:rsidR="00AA235F" w:rsidRDefault="00AA235F" w:rsidP="00AA235F"/>
    <w:p w14:paraId="0DD3C3AD" w14:textId="77777777" w:rsidR="00AA235F" w:rsidRDefault="00AA235F" w:rsidP="00AA235F"/>
    <w:p w14:paraId="10066F76" w14:textId="77777777" w:rsidR="00AA235F" w:rsidRDefault="00AA235F" w:rsidP="00AA235F"/>
    <w:p w14:paraId="61EEAA67" w14:textId="77777777" w:rsidR="00AA235F" w:rsidRDefault="00AA235F" w:rsidP="00AA235F"/>
    <w:p w14:paraId="1C0C1586" w14:textId="77777777" w:rsidR="00AA235F" w:rsidRDefault="00AA235F" w:rsidP="00AA235F"/>
    <w:p w14:paraId="16A282EF" w14:textId="77777777" w:rsidR="00AA235F" w:rsidRDefault="00AA235F" w:rsidP="00AA235F"/>
    <w:p w14:paraId="7385C8B6" w14:textId="77777777" w:rsidR="00AA235F" w:rsidRDefault="00AA235F" w:rsidP="00AA235F"/>
    <w:p w14:paraId="6E71EFAA" w14:textId="77777777" w:rsidR="004673FD" w:rsidRDefault="004673FD" w:rsidP="00AA235F"/>
    <w:p w14:paraId="24044F36" w14:textId="2D0D265F" w:rsidR="005378B8" w:rsidRPr="00405755" w:rsidRDefault="005378B8" w:rsidP="005378B8">
      <w:pPr>
        <w:pStyle w:val="Editionnumber"/>
      </w:pPr>
      <w:r w:rsidRPr="00405755">
        <w:t xml:space="preserve">Edition </w:t>
      </w:r>
      <w:r w:rsidR="007C7EC8">
        <w:t>0.1</w:t>
      </w:r>
    </w:p>
    <w:p w14:paraId="545F873C" w14:textId="77777777" w:rsidR="0072592B" w:rsidRDefault="0019707C" w:rsidP="00471C48">
      <w:pPr>
        <w:pStyle w:val="Documentdate"/>
      </w:pPr>
      <w:r>
        <w:t>Date (of approval by Council)</w:t>
      </w:r>
    </w:p>
    <w:p w14:paraId="6FD3E09C" w14:textId="77777777" w:rsidR="0019707C" w:rsidRPr="00405755" w:rsidRDefault="0019707C" w:rsidP="00AA235F"/>
    <w:p w14:paraId="2E5CBC61" w14:textId="77777777" w:rsidR="00BC27F6" w:rsidRDefault="0019707C" w:rsidP="0019707C">
      <w:pPr>
        <w:pStyle w:val="MRN"/>
      </w:pPr>
      <w:proofErr w:type="spellStart"/>
      <w:proofErr w:type="gramStart"/>
      <w:r>
        <w:t>urn:mrn</w:t>
      </w:r>
      <w:proofErr w:type="gramEnd"/>
      <w:r>
        <w:t>:iala:</w:t>
      </w:r>
      <w:proofErr w:type="gramStart"/>
      <w:r>
        <w:t>pub:rnnnn</w:t>
      </w:r>
      <w:proofErr w:type="spellEnd"/>
      <w:proofErr w:type="gramEnd"/>
    </w:p>
    <w:p w14:paraId="36B3AAE2" w14:textId="77777777" w:rsidR="0019707C" w:rsidRPr="00405755" w:rsidRDefault="0019707C" w:rsidP="00D74AE1">
      <w:pPr>
        <w:sectPr w:rsidR="0019707C" w:rsidRPr="00405755" w:rsidSect="0079657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5AF6B2F" w14:textId="77777777" w:rsidR="00914E26" w:rsidRPr="00405755" w:rsidRDefault="00914E26" w:rsidP="003E18A5">
      <w:pPr>
        <w:pStyle w:val="BodyText"/>
      </w:pPr>
      <w:bookmarkStart w:id="2" w:name="_Hlk59442470"/>
      <w:bookmarkStart w:id="3" w:name="_Hlk59282356"/>
      <w:r w:rsidRPr="00053283">
        <w:lastRenderedPageBreak/>
        <w:t>Revisions</w:t>
      </w:r>
      <w:r w:rsidRPr="00405755">
        <w:t xml:space="preserve"> to this </w:t>
      </w:r>
      <w:r w:rsidR="009D3BAF">
        <w:t>d</w:t>
      </w:r>
      <w:r w:rsidRPr="00405755">
        <w:t>ocument are to be noted in the table prior to the issue of a revised document.</w:t>
      </w:r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5E4659" w:rsidRPr="00405755" w14:paraId="338117C3" w14:textId="77777777" w:rsidTr="008B14DC">
        <w:tc>
          <w:tcPr>
            <w:tcW w:w="1908" w:type="dxa"/>
          </w:tcPr>
          <w:bookmarkEnd w:id="3"/>
          <w:p w14:paraId="55AF9DB3" w14:textId="77777777" w:rsidR="00914E26" w:rsidRPr="00405755" w:rsidRDefault="00914E26" w:rsidP="00914E26">
            <w:pPr>
              <w:pStyle w:val="Revisiontabletexttitle"/>
            </w:pPr>
            <w:r w:rsidRPr="00405755">
              <w:t>Date</w:t>
            </w:r>
          </w:p>
        </w:tc>
        <w:tc>
          <w:tcPr>
            <w:tcW w:w="5884" w:type="dxa"/>
          </w:tcPr>
          <w:p w14:paraId="4D41BBA3" w14:textId="77777777" w:rsidR="00914E26" w:rsidRPr="00405755" w:rsidRDefault="008B14DC" w:rsidP="00914E26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6DC82D5C" w14:textId="77777777" w:rsidR="00914E26" w:rsidRPr="00405755" w:rsidRDefault="008B14DC" w:rsidP="005E4659">
            <w:pPr>
              <w:pStyle w:val="Revisiontabletexttitle"/>
              <w:ind w:right="112"/>
            </w:pPr>
            <w:r>
              <w:t>Approval</w:t>
            </w:r>
          </w:p>
        </w:tc>
      </w:tr>
      <w:tr w:rsidR="005E4659" w:rsidRPr="00405755" w14:paraId="0B3456F8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7A7958B2" w14:textId="2658DE69" w:rsidR="00914E26" w:rsidRPr="00405755" w:rsidRDefault="007C7EC8" w:rsidP="00914E26">
            <w:pPr>
              <w:pStyle w:val="Tabletext"/>
            </w:pPr>
            <w:r>
              <w:t>2025-07-28</w:t>
            </w:r>
          </w:p>
        </w:tc>
        <w:tc>
          <w:tcPr>
            <w:tcW w:w="5884" w:type="dxa"/>
            <w:vAlign w:val="center"/>
          </w:tcPr>
          <w:p w14:paraId="1C4CA219" w14:textId="5A8362B2" w:rsidR="00914E26" w:rsidRPr="00405755" w:rsidRDefault="007C7EC8" w:rsidP="00914E26">
            <w:pPr>
              <w:pStyle w:val="Tabletext"/>
            </w:pPr>
            <w:r>
              <w:t>1</w:t>
            </w:r>
            <w:r w:rsidRPr="007C7EC8">
              <w:rPr>
                <w:vertAlign w:val="superscript"/>
              </w:rPr>
              <w:t>st</w:t>
            </w:r>
            <w:r>
              <w:t xml:space="preserve"> draft</w:t>
            </w:r>
          </w:p>
        </w:tc>
        <w:tc>
          <w:tcPr>
            <w:tcW w:w="2693" w:type="dxa"/>
            <w:vAlign w:val="center"/>
          </w:tcPr>
          <w:p w14:paraId="42F34F4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B66421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71F9203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7D55B9B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5CC1A1B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25116DA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6D0297A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1780514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30BA335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80549B9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BE69F8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498210D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1DCE224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2222313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4DE9E87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2188082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7AADA1B9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F40A650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22A88D4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373FF27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2B45C91A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7D69B2" w14:textId="77777777" w:rsidTr="008B14DC">
        <w:trPr>
          <w:trHeight w:val="851"/>
        </w:trPr>
        <w:tc>
          <w:tcPr>
            <w:tcW w:w="1908" w:type="dxa"/>
            <w:vAlign w:val="center"/>
          </w:tcPr>
          <w:p w14:paraId="5E3929E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520A1AE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8B7C7EB" w14:textId="77777777" w:rsidR="00914E26" w:rsidRPr="00405755" w:rsidRDefault="00914E26" w:rsidP="00914E26">
            <w:pPr>
              <w:pStyle w:val="Tabletext"/>
            </w:pPr>
          </w:p>
        </w:tc>
      </w:tr>
    </w:tbl>
    <w:p w14:paraId="7F4CBE02" w14:textId="77777777" w:rsidR="00530A84" w:rsidRPr="00405755" w:rsidRDefault="00530A84" w:rsidP="00914E26">
      <w:pPr>
        <w:spacing w:after="200" w:line="276" w:lineRule="auto"/>
        <w:sectPr w:rsidR="00530A84" w:rsidRPr="00405755" w:rsidSect="00796570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1" w:gutter="0"/>
          <w:cols w:space="708"/>
          <w:docGrid w:linePitch="360"/>
        </w:sectPr>
      </w:pPr>
    </w:p>
    <w:p w14:paraId="3E2245BE" w14:textId="77777777" w:rsidR="001B7940" w:rsidRDefault="001B7940" w:rsidP="001B7940">
      <w:pPr>
        <w:pStyle w:val="THECOUNCIL"/>
      </w:pPr>
      <w:bookmarkStart w:id="4" w:name="_Toc442255952"/>
      <w:r w:rsidRPr="007D487F">
        <w:lastRenderedPageBreak/>
        <w:t xml:space="preserve">THE </w:t>
      </w:r>
      <w:r w:rsidRPr="0006154F">
        <w:t>COUNCIL</w:t>
      </w:r>
    </w:p>
    <w:p w14:paraId="43DA5CF8" w14:textId="77777777" w:rsidR="00470488" w:rsidRDefault="00166C2E" w:rsidP="001B7940">
      <w:pPr>
        <w:pStyle w:val="Noting"/>
      </w:pPr>
      <w:commentRangeStart w:id="5"/>
      <w:r w:rsidRPr="004A484C">
        <w:rPr>
          <w:b/>
        </w:rPr>
        <w:t>RECALLING</w:t>
      </w:r>
      <w:commentRangeEnd w:id="5"/>
      <w:r w:rsidR="00B11E00">
        <w:rPr>
          <w:rStyle w:val="CommentReference"/>
          <w:rFonts w:eastAsiaTheme="minorHAnsi" w:cstheme="minorBidi"/>
        </w:rPr>
        <w:commentReference w:id="5"/>
      </w:r>
      <w:r w:rsidR="00470488">
        <w:t>:</w:t>
      </w:r>
    </w:p>
    <w:p w14:paraId="2B2D72DB" w14:textId="77777777" w:rsidR="00166C2E" w:rsidRPr="00F725F1" w:rsidRDefault="00470488" w:rsidP="00A976C0">
      <w:pPr>
        <w:pStyle w:val="RecommendationList1"/>
        <w:numPr>
          <w:ilvl w:val="0"/>
          <w:numId w:val="1"/>
        </w:numPr>
      </w:pPr>
      <w:bookmarkStart w:id="7" w:name="_Hlk59102249"/>
      <w:r w:rsidRPr="00F725F1">
        <w:t>T</w:t>
      </w:r>
      <w:r w:rsidR="005A5370" w:rsidRPr="00F725F1">
        <w:t>he function of IALA with respect to Safety of Navigation, the efficiency of maritime transport and the protection of the environment</w:t>
      </w:r>
      <w:r w:rsidRPr="00F725F1">
        <w:t>.</w:t>
      </w:r>
    </w:p>
    <w:p w14:paraId="099C1075" w14:textId="77777777" w:rsidR="00B9146E" w:rsidRDefault="005A5370" w:rsidP="00A976C0">
      <w:pPr>
        <w:pStyle w:val="RecommendationList1"/>
        <w:numPr>
          <w:ilvl w:val="0"/>
          <w:numId w:val="1"/>
        </w:numPr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18D4871A" w14:textId="77777777" w:rsidR="007C7EC8" w:rsidRDefault="007C7EC8" w:rsidP="007C7EC8">
      <w:pPr>
        <w:pStyle w:val="RecommendationList1"/>
        <w:numPr>
          <w:ilvl w:val="0"/>
          <w:numId w:val="1"/>
        </w:numPr>
        <w:rPr>
          <w:sz w:val="18"/>
          <w:lang w:val="en-US"/>
        </w:rPr>
      </w:pPr>
      <w:r>
        <w:t>The work of IALA in defining and implementing the Automatic Identification System (AIS).</w:t>
      </w:r>
    </w:p>
    <w:p w14:paraId="072ADC95" w14:textId="115044E7" w:rsidR="007C7EC8" w:rsidRDefault="007C7EC8" w:rsidP="007C7EC8">
      <w:pPr>
        <w:pStyle w:val="RecommendationList1"/>
        <w:numPr>
          <w:ilvl w:val="0"/>
          <w:numId w:val="1"/>
        </w:numPr>
      </w:pPr>
      <w:r>
        <w:t>The VHF Data Exchange System (VDES) includes functions for AIS, Application Specific Messages (ASM), and VHF data exchange (VDE).</w:t>
      </w:r>
    </w:p>
    <w:p w14:paraId="2B82F398" w14:textId="30BA26FF" w:rsidR="007C7EC8" w:rsidRDefault="007C7EC8" w:rsidP="007C7EC8">
      <w:pPr>
        <w:pStyle w:val="RecommendationList1"/>
        <w:numPr>
          <w:ilvl w:val="0"/>
          <w:numId w:val="1"/>
        </w:numPr>
      </w:pPr>
      <w:commentRangeStart w:id="8"/>
      <w:r>
        <w:t xml:space="preserve">That the VDES is coordinated by IALA </w:t>
      </w:r>
      <w:r w:rsidRPr="007C7EC8">
        <w:rPr>
          <w:lang w:val="en-US"/>
        </w:rPr>
        <w:t>in</w:t>
      </w:r>
      <w:r>
        <w:rPr>
          <w:lang w:val="en-US"/>
        </w:rPr>
        <w:t xml:space="preserve"> </w:t>
      </w:r>
      <w:r w:rsidRPr="007C7EC8">
        <w:rPr>
          <w:lang w:val="en-US"/>
        </w:rPr>
        <w:t>consultation with the International Telecommunication Union (ITU), the International</w:t>
      </w:r>
      <w:r>
        <w:rPr>
          <w:lang w:val="en-US"/>
        </w:rPr>
        <w:t xml:space="preserve"> </w:t>
      </w:r>
      <w:r w:rsidRPr="007C7EC8">
        <w:rPr>
          <w:lang w:val="en-US"/>
        </w:rPr>
        <w:t>Maritime Organization (IMO) and the International Electrotechnical Commission (IEC)</w:t>
      </w:r>
      <w:r>
        <w:rPr>
          <w:lang w:val="en-US"/>
        </w:rPr>
        <w:t>.</w:t>
      </w:r>
      <w:commentRangeEnd w:id="8"/>
      <w:r>
        <w:rPr>
          <w:rStyle w:val="CommentReference"/>
        </w:rPr>
        <w:commentReference w:id="8"/>
      </w:r>
    </w:p>
    <w:p w14:paraId="0EE0E16C" w14:textId="77777777" w:rsidR="007C7EC8" w:rsidRDefault="007C7EC8" w:rsidP="007C7EC8">
      <w:pPr>
        <w:pStyle w:val="RecommendationList1"/>
        <w:numPr>
          <w:ilvl w:val="0"/>
          <w:numId w:val="0"/>
        </w:numPr>
        <w:ind w:left="567"/>
      </w:pPr>
    </w:p>
    <w:bookmarkEnd w:id="7"/>
    <w:p w14:paraId="43300443" w14:textId="77777777" w:rsidR="00470488" w:rsidRDefault="00166C2E" w:rsidP="001B7940">
      <w:pPr>
        <w:pStyle w:val="Noting"/>
      </w:pPr>
      <w:r>
        <w:rPr>
          <w:b/>
        </w:rPr>
        <w:t>RECOGNI</w:t>
      </w:r>
      <w:r w:rsidR="009D3BAF">
        <w:rPr>
          <w:b/>
        </w:rPr>
        <w:t>Z</w:t>
      </w:r>
      <w:r>
        <w:rPr>
          <w:b/>
        </w:rPr>
        <w:t>ING</w:t>
      </w:r>
      <w:r w:rsidR="00470488">
        <w:t>:</w:t>
      </w:r>
    </w:p>
    <w:p w14:paraId="0B7872EA" w14:textId="44630F78" w:rsidR="007C7EC8" w:rsidRDefault="007C7EC8" w:rsidP="00AA46D0">
      <w:pPr>
        <w:pStyle w:val="RecommendationList1"/>
        <w:numPr>
          <w:ilvl w:val="0"/>
          <w:numId w:val="15"/>
        </w:numPr>
      </w:pPr>
      <w:r>
        <w:t xml:space="preserve">The need of a harmonized way to indicate to the </w:t>
      </w:r>
      <w:r w:rsidR="00483B71">
        <w:t xml:space="preserve">maritime </w:t>
      </w:r>
      <w:r>
        <w:t>application</w:t>
      </w:r>
      <w:r w:rsidR="00483B71">
        <w:t>s</w:t>
      </w:r>
      <w:r>
        <w:t xml:space="preserve"> the data format </w:t>
      </w:r>
      <w:r w:rsidR="00483B71">
        <w:t xml:space="preserve">used </w:t>
      </w:r>
      <w:r>
        <w:t xml:space="preserve">inside VDE </w:t>
      </w:r>
      <w:r w:rsidR="00483B71">
        <w:t>data packets</w:t>
      </w:r>
      <w:r>
        <w:t>,</w:t>
      </w:r>
    </w:p>
    <w:p w14:paraId="24205B2E" w14:textId="20E5EE7A" w:rsidR="00166C2E" w:rsidRPr="00166C2E" w:rsidRDefault="007C7EC8" w:rsidP="00AA46D0">
      <w:pPr>
        <w:pStyle w:val="RecommendationList1"/>
        <w:numPr>
          <w:ilvl w:val="0"/>
          <w:numId w:val="15"/>
        </w:numPr>
      </w:pPr>
      <w:r>
        <w:t xml:space="preserve">to enable applications to </w:t>
      </w:r>
      <w:r w:rsidR="000302CA">
        <w:t>use</w:t>
      </w:r>
      <w:r>
        <w:t xml:space="preserve"> the data.</w:t>
      </w:r>
    </w:p>
    <w:p w14:paraId="7FA64A9D" w14:textId="02D7B5FA" w:rsidR="001B7940" w:rsidRPr="00483B71" w:rsidRDefault="00B9146E" w:rsidP="00483B71">
      <w:pPr>
        <w:pStyle w:val="Noting"/>
        <w:rPr>
          <w:lang w:val="en-US"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483B71" w:rsidRPr="00483B71">
        <w:rPr>
          <w:lang w:val="en-US"/>
        </w:rPr>
        <w:t>the advice of the e-Navigation Committee, now the Digital Technologies Committee</w:t>
      </w:r>
      <w:r w:rsidR="00483B71">
        <w:rPr>
          <w:lang w:val="en-US"/>
        </w:rPr>
        <w:t xml:space="preserve"> </w:t>
      </w:r>
      <w:r w:rsidR="00483B71" w:rsidRPr="00483B71">
        <w:rPr>
          <w:lang w:val="en-US"/>
        </w:rPr>
        <w:t>(DTEC), provided to the Council at its 64th Session,</w:t>
      </w:r>
    </w:p>
    <w:p w14:paraId="18187504" w14:textId="3C19D7D0" w:rsidR="001B7940" w:rsidRPr="00320C7A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the </w:t>
      </w:r>
      <w:r w:rsidRPr="00B9146E">
        <w:t xml:space="preserve">Recommendation </w:t>
      </w:r>
      <w:r w:rsidR="008D16C2" w:rsidRPr="00320C7A">
        <w:t>on</w:t>
      </w:r>
      <w:r w:rsidR="00A11BFC">
        <w:t xml:space="preserve"> VDE Protocol Format Identifiers (VPFI)</w:t>
      </w:r>
      <w:r w:rsidR="001B7940" w:rsidRPr="00320C7A">
        <w:t>,</w:t>
      </w:r>
    </w:p>
    <w:p w14:paraId="7D4DD3D8" w14:textId="59898D5D" w:rsidR="007D487F" w:rsidRPr="00B9146E" w:rsidRDefault="007D487F" w:rsidP="007D487F">
      <w:pPr>
        <w:pStyle w:val="Noting"/>
      </w:pPr>
      <w:r>
        <w:rPr>
          <w:b/>
        </w:rPr>
        <w:t>RECOMMENDS</w:t>
      </w:r>
      <w:r>
        <w:t xml:space="preserve"> </w:t>
      </w:r>
      <w:r w:rsidRPr="00460028">
        <w:t xml:space="preserve">National </w:t>
      </w:r>
      <w:r>
        <w:t>m</w:t>
      </w:r>
      <w:r w:rsidRPr="00460028">
        <w:t xml:space="preserve">embers and other appropriate </w:t>
      </w:r>
      <w:r w:rsidR="00D4402A">
        <w:t>a</w:t>
      </w:r>
      <w:r w:rsidRPr="00460028">
        <w:t xml:space="preserve">uthorities providing </w:t>
      </w:r>
      <w:r w:rsidR="00D4402A">
        <w:t>M</w:t>
      </w:r>
      <w:r w:rsidRPr="00460028">
        <w:t>ar</w:t>
      </w:r>
      <w:r>
        <w:t xml:space="preserve">ine </w:t>
      </w:r>
      <w:r w:rsidR="00D4402A">
        <w:t>A</w:t>
      </w:r>
      <w:r>
        <w:t xml:space="preserve">ids to </w:t>
      </w:r>
      <w:r w:rsidR="00D4402A">
        <w:t>N</w:t>
      </w:r>
      <w:r>
        <w:t xml:space="preserve">avigation </w:t>
      </w:r>
      <w:r w:rsidR="00D4402A">
        <w:t>s</w:t>
      </w:r>
      <w:r>
        <w:t xml:space="preserve">ervices comply with </w:t>
      </w:r>
      <w:r w:rsidR="00A11BFC">
        <w:t>the here defined VPFI Rules,</w:t>
      </w:r>
    </w:p>
    <w:p w14:paraId="2DC50AEB" w14:textId="77777777" w:rsidR="001B7940" w:rsidRDefault="00A326AC" w:rsidP="00A23D54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 xml:space="preserve">Members and </w:t>
      </w:r>
      <w:r w:rsidR="00D4402A">
        <w:t>M</w:t>
      </w:r>
      <w:r w:rsidRPr="00A326AC">
        <w:t xml:space="preserve">arine </w:t>
      </w:r>
      <w:r w:rsidR="00D4402A" w:rsidRPr="00A23D54">
        <w:t>A</w:t>
      </w:r>
      <w:r w:rsidRPr="00A23D54">
        <w:t>ids</w:t>
      </w:r>
      <w:r w:rsidRPr="00A326AC">
        <w:t xml:space="preserve"> to </w:t>
      </w:r>
      <w:r w:rsidR="00D4402A">
        <w:t>N</w:t>
      </w:r>
      <w:r w:rsidRPr="00A326AC">
        <w:t>avigation authorities worldwide to implement the provisions of the Recommendati</w:t>
      </w:r>
      <w:r>
        <w:t>on</w:t>
      </w:r>
      <w:r w:rsidR="001B7940" w:rsidRPr="00405755">
        <w:t>,</w:t>
      </w:r>
    </w:p>
    <w:p w14:paraId="7B40A02D" w14:textId="20D01683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="00A11BFC">
        <w:t>members and sister organizations that are involved in VDE application design</w:t>
      </w:r>
      <w:r w:rsidRPr="00A326AC">
        <w:t xml:space="preserve"> to keep the Recommendation under review and to propose </w:t>
      </w:r>
      <w:r w:rsidR="00320C7A" w:rsidRPr="00A326AC">
        <w:t>amendments,</w:t>
      </w:r>
      <w:r w:rsidRPr="00A326AC">
        <w:t xml:space="preserve"> as necessar</w:t>
      </w:r>
      <w:r>
        <w:t>y</w:t>
      </w:r>
      <w:r w:rsidR="00320A41">
        <w:t>.</w:t>
      </w:r>
    </w:p>
    <w:p w14:paraId="3B9FCFBD" w14:textId="3E6CB42C" w:rsidR="006C3466" w:rsidRPr="00AA235F" w:rsidRDefault="001B7940" w:rsidP="00B74162">
      <w:pPr>
        <w:pStyle w:val="Noting"/>
        <w:sectPr w:rsidR="006C3466" w:rsidRPr="00AA235F" w:rsidSect="00C61DDD">
          <w:headerReference w:type="even" r:id="rId25"/>
          <w:headerReference w:type="default" r:id="rId26"/>
          <w:headerReference w:type="first" r:id="rId2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  <w:r w:rsidRPr="009333FB">
        <w:rPr>
          <w:rStyle w:val="RECALLING"/>
        </w:rPr>
        <w:t>RE</w:t>
      </w:r>
      <w:r w:rsidR="00A326AC" w:rsidRPr="009333FB">
        <w:rPr>
          <w:rStyle w:val="RECALLING"/>
        </w:rPr>
        <w:t>VOKE</w:t>
      </w:r>
      <w:r w:rsidRPr="009333FB">
        <w:rPr>
          <w:rStyle w:val="RECALLING"/>
        </w:rPr>
        <w:t>S</w:t>
      </w:r>
      <w:r w:rsidRPr="00405755">
        <w:t xml:space="preserve"> </w:t>
      </w:r>
      <w:r w:rsidR="00B46C50">
        <w:t xml:space="preserve">The contents of </w:t>
      </w:r>
      <w:r w:rsidR="00842D67">
        <w:t xml:space="preserve">Section 2.2.1 and </w:t>
      </w:r>
      <w:r w:rsidR="00B74162">
        <w:t xml:space="preserve">Annex B </w:t>
      </w:r>
      <w:r w:rsidR="00083F71">
        <w:t>(</w:t>
      </w:r>
      <w:r w:rsidR="00B74162">
        <w:t>VDES Protocol Identifiers</w:t>
      </w:r>
      <w:r w:rsidR="00083F71">
        <w:t>)</w:t>
      </w:r>
      <w:r w:rsidR="00B74162" w:rsidRPr="00320C7A">
        <w:t xml:space="preserve"> </w:t>
      </w:r>
      <w:r w:rsidR="00B74162">
        <w:t xml:space="preserve">of </w:t>
      </w:r>
      <w:r w:rsidR="0072592B" w:rsidRPr="00320C7A">
        <w:t xml:space="preserve">IALA </w:t>
      </w:r>
      <w:r w:rsidR="008D16C2" w:rsidRPr="00320C7A">
        <w:t>Guideline</w:t>
      </w:r>
      <w:r w:rsidR="00C5418A" w:rsidRPr="00320C7A">
        <w:t xml:space="preserve"> </w:t>
      </w:r>
      <w:r w:rsidR="00320C7A" w:rsidRPr="00A11BFC">
        <w:t>G</w:t>
      </w:r>
      <w:r w:rsidR="00A11BFC" w:rsidRPr="00A11BFC">
        <w:t>1117</w:t>
      </w:r>
      <w:r w:rsidR="00A326AC" w:rsidRPr="00A11BFC">
        <w:t xml:space="preserve"> </w:t>
      </w:r>
      <w:r w:rsidR="00D4402A" w:rsidRPr="00A11BFC">
        <w:t>E</w:t>
      </w:r>
      <w:r w:rsidR="00CE2A1E" w:rsidRPr="00A11BFC">
        <w:t>dition</w:t>
      </w:r>
      <w:r w:rsidR="00A326AC" w:rsidRPr="00A11BFC">
        <w:t xml:space="preserve"> 3.</w:t>
      </w:r>
      <w:r w:rsidR="00A11BFC" w:rsidRPr="00A11BFC">
        <w:t>0</w:t>
      </w:r>
      <w:bookmarkStart w:id="9" w:name="_Ref361228803"/>
      <w:bookmarkStart w:id="10" w:name="_Toc359496675"/>
      <w:bookmarkEnd w:id="4"/>
      <w:bookmarkEnd w:id="9"/>
      <w:bookmarkEnd w:id="10"/>
      <w:r w:rsidR="00B74162">
        <w:t>.</w:t>
      </w:r>
    </w:p>
    <w:p w14:paraId="7CF14BA4" w14:textId="77777777" w:rsidR="00A64B1A" w:rsidRPr="0006154F" w:rsidRDefault="007D487F" w:rsidP="0006154F">
      <w:pPr>
        <w:pStyle w:val="AnnexContents"/>
      </w:pPr>
      <w:r>
        <w:lastRenderedPageBreak/>
        <w:t xml:space="preserve">Annex </w:t>
      </w:r>
      <w:commentRangeStart w:id="11"/>
      <w:r w:rsidR="008904CE">
        <w:t>Contents</w:t>
      </w:r>
      <w:commentRangeEnd w:id="11"/>
      <w:r w:rsidR="006C3466">
        <w:rPr>
          <w:rStyle w:val="CommentReference"/>
          <w:b w:val="0"/>
          <w:caps w:val="0"/>
          <w:color w:val="auto"/>
        </w:rPr>
        <w:commentReference w:id="11"/>
      </w:r>
    </w:p>
    <w:p w14:paraId="42C3D2AF" w14:textId="5CDABD9F" w:rsidR="000A33E1" w:rsidRDefault="001879FE">
      <w:pPr>
        <w:pStyle w:val="TOC1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</w:pPr>
      <w:r>
        <w:rPr>
          <w:b w:val="0"/>
          <w:caps w:val="0"/>
          <w:color w:val="009FDF"/>
        </w:rPr>
        <w:fldChar w:fldCharType="begin"/>
      </w:r>
      <w:r>
        <w:rPr>
          <w:b w:val="0"/>
          <w:caps w:val="0"/>
          <w:color w:val="009FDF"/>
        </w:rPr>
        <w:instrText xml:space="preserve"> TOC \o "1-3" \h \z \t "Appendix title Head 1,1,Annex title Head 1,1" </w:instrText>
      </w:r>
      <w:r>
        <w:rPr>
          <w:b w:val="0"/>
          <w:caps w:val="0"/>
          <w:color w:val="009FDF"/>
        </w:rPr>
        <w:fldChar w:fldCharType="separate"/>
      </w:r>
      <w:hyperlink w:anchor="_Toc209076988" w:history="1">
        <w:r w:rsidR="000A33E1" w:rsidRPr="00962485">
          <w:rPr>
            <w:rStyle w:val="Hyperlink"/>
          </w:rPr>
          <w:t>1.</w:t>
        </w:r>
        <w:r w:rsidR="000A33E1">
          <w:rPr>
            <w:rFonts w:eastAsiaTheme="minorEastAsia"/>
            <w:b w:val="0"/>
            <w:caps w:val="0"/>
            <w:color w:val="auto"/>
            <w:kern w:val="2"/>
            <w:sz w:val="24"/>
            <w:szCs w:val="24"/>
            <w:lang w:val="en-US"/>
            <w14:ligatures w14:val="standardContextual"/>
          </w:rPr>
          <w:tab/>
        </w:r>
        <w:r w:rsidR="000A33E1" w:rsidRPr="00962485">
          <w:rPr>
            <w:rStyle w:val="Hyperlink"/>
          </w:rPr>
          <w:t>Introduction</w:t>
        </w:r>
        <w:r w:rsidR="000A33E1">
          <w:rPr>
            <w:webHidden/>
          </w:rPr>
          <w:tab/>
        </w:r>
        <w:r w:rsidR="000A33E1">
          <w:rPr>
            <w:webHidden/>
          </w:rPr>
          <w:fldChar w:fldCharType="begin"/>
        </w:r>
        <w:r w:rsidR="000A33E1">
          <w:rPr>
            <w:webHidden/>
          </w:rPr>
          <w:instrText xml:space="preserve"> PAGEREF _Toc209076988 \h </w:instrText>
        </w:r>
        <w:r w:rsidR="000A33E1">
          <w:rPr>
            <w:webHidden/>
          </w:rPr>
        </w:r>
        <w:r w:rsidR="000A33E1">
          <w:rPr>
            <w:webHidden/>
          </w:rPr>
          <w:fldChar w:fldCharType="separate"/>
        </w:r>
        <w:r w:rsidR="000A33E1">
          <w:rPr>
            <w:webHidden/>
          </w:rPr>
          <w:t>5</w:t>
        </w:r>
        <w:r w:rsidR="000A33E1">
          <w:rPr>
            <w:webHidden/>
          </w:rPr>
          <w:fldChar w:fldCharType="end"/>
        </w:r>
      </w:hyperlink>
    </w:p>
    <w:p w14:paraId="6D766D72" w14:textId="50CB2ADC" w:rsidR="000A33E1" w:rsidRDefault="000A33E1">
      <w:pPr>
        <w:pStyle w:val="TOC1"/>
        <w:rPr>
          <w:rFonts w:eastAsiaTheme="minorEastAsia"/>
          <w:b w:val="0"/>
          <w:caps w:val="0"/>
          <w:color w:val="auto"/>
          <w:kern w:val="2"/>
          <w:sz w:val="24"/>
          <w:szCs w:val="24"/>
          <w:lang w:val="en-US"/>
          <w14:ligatures w14:val="standardContextual"/>
        </w:rPr>
      </w:pPr>
      <w:hyperlink w:anchor="_Toc209076989" w:history="1">
        <w:r w:rsidRPr="00962485">
          <w:rPr>
            <w:rStyle w:val="Hyperlink"/>
          </w:rPr>
          <w:t>2.</w:t>
        </w:r>
        <w:r>
          <w:rPr>
            <w:rFonts w:eastAsiaTheme="minorEastAsia"/>
            <w:b w:val="0"/>
            <w:caps w:val="0"/>
            <w:color w:val="auto"/>
            <w:kern w:val="2"/>
            <w:sz w:val="24"/>
            <w:szCs w:val="24"/>
            <w:lang w:val="en-US"/>
            <w14:ligatures w14:val="standardContextual"/>
          </w:rPr>
          <w:tab/>
        </w:r>
        <w:r w:rsidRPr="00962485">
          <w:rPr>
            <w:rStyle w:val="Hyperlink"/>
          </w:rPr>
          <w:t>Concept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_Toc209076989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351A180" w14:textId="0B60B142" w:rsidR="000A33E1" w:rsidRDefault="000A33E1">
      <w:pPr>
        <w:pStyle w:val="TOC2"/>
        <w:rPr>
          <w:rFonts w:eastAsiaTheme="minorEastAsia"/>
          <w:color w:val="auto"/>
          <w:kern w:val="2"/>
          <w:sz w:val="24"/>
          <w:szCs w:val="24"/>
          <w:lang w:val="en-US"/>
          <w14:ligatures w14:val="standardContextual"/>
        </w:rPr>
      </w:pPr>
      <w:hyperlink w:anchor="_Toc209076990" w:history="1">
        <w:r w:rsidRPr="00962485">
          <w:rPr>
            <w:rStyle w:val="Hyperlink"/>
          </w:rPr>
          <w:t>2.1.</w:t>
        </w:r>
        <w:r>
          <w:rPr>
            <w:rFonts w:eastAsiaTheme="minorEastAsia"/>
            <w:color w:val="auto"/>
            <w:kern w:val="2"/>
            <w:sz w:val="24"/>
            <w:szCs w:val="24"/>
            <w:lang w:val="en-US"/>
            <w14:ligatures w14:val="standardContextual"/>
          </w:rPr>
          <w:tab/>
        </w:r>
        <w:r w:rsidRPr="00962485">
          <w:rPr>
            <w:rStyle w:val="Hyperlink"/>
          </w:rPr>
          <w:t>VDES Protocol Format Identifiers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_Toc209076990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DADABB4" w14:textId="2C0796D1" w:rsidR="000A33E1" w:rsidRDefault="000A33E1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hyperlink w:anchor="_Toc209076991" w:history="1">
        <w:r w:rsidRPr="00962485">
          <w:rPr>
            <w:rStyle w:val="Hyperlink"/>
            <w:noProof/>
          </w:rPr>
          <w:t>2.1.1.</w:t>
        </w:r>
        <w:r>
          <w:rPr>
            <w:rFonts w:eastAsiaTheme="minorEastAsia"/>
            <w:noProof/>
            <w:color w:val="auto"/>
            <w:kern w:val="2"/>
            <w:sz w:val="24"/>
            <w:szCs w:val="24"/>
            <w:lang w:val="en-US"/>
            <w14:ligatures w14:val="standardContextual"/>
          </w:rPr>
          <w:tab/>
        </w:r>
        <w:r w:rsidRPr="00962485">
          <w:rPr>
            <w:rStyle w:val="Hyperlink"/>
            <w:noProof/>
          </w:rPr>
          <w:t>Level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_Toc209076991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A0EA24" w14:textId="1B1FFA59" w:rsidR="000A33E1" w:rsidRDefault="000A33E1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hyperlink w:anchor="_Toc209076992" w:history="1">
        <w:r w:rsidRPr="00962485">
          <w:rPr>
            <w:rStyle w:val="Hyperlink"/>
            <w:noProof/>
          </w:rPr>
          <w:t>2.1.2.</w:t>
        </w:r>
        <w:r>
          <w:rPr>
            <w:rFonts w:eastAsiaTheme="minorEastAsia"/>
            <w:noProof/>
            <w:color w:val="auto"/>
            <w:kern w:val="2"/>
            <w:sz w:val="24"/>
            <w:szCs w:val="24"/>
            <w:lang w:val="en-US"/>
            <w14:ligatures w14:val="standardContextual"/>
          </w:rPr>
          <w:tab/>
        </w:r>
        <w:r w:rsidRPr="00962485">
          <w:rPr>
            <w:rStyle w:val="Hyperlink"/>
            <w:noProof/>
          </w:rPr>
          <w:t>Level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_Toc209076992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432112" w14:textId="40425340" w:rsidR="000A33E1" w:rsidRDefault="000A33E1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hyperlink w:anchor="_Toc209076993" w:history="1">
        <w:r w:rsidRPr="00962485">
          <w:rPr>
            <w:rStyle w:val="Hyperlink"/>
            <w:noProof/>
          </w:rPr>
          <w:t>2.1.3.</w:t>
        </w:r>
        <w:r>
          <w:rPr>
            <w:rFonts w:eastAsiaTheme="minorEastAsia"/>
            <w:noProof/>
            <w:color w:val="auto"/>
            <w:kern w:val="2"/>
            <w:sz w:val="24"/>
            <w:szCs w:val="24"/>
            <w:lang w:val="en-US"/>
            <w14:ligatures w14:val="standardContextual"/>
          </w:rPr>
          <w:tab/>
        </w:r>
        <w:r w:rsidRPr="00962485">
          <w:rPr>
            <w:rStyle w:val="Hyperlink"/>
            <w:noProof/>
          </w:rPr>
          <w:t>Level 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_Toc209076993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69A4A1" w14:textId="7C58A001" w:rsidR="005A19E9" w:rsidRDefault="001879FE" w:rsidP="005A19E9">
      <w:pPr>
        <w:pStyle w:val="BodyText"/>
      </w:pPr>
      <w:r>
        <w:rPr>
          <w:rFonts w:eastAsiaTheme="minorEastAsia"/>
          <w:b/>
          <w:caps/>
          <w:noProof/>
          <w:color w:val="009FDF"/>
          <w:sz w:val="24"/>
          <w:szCs w:val="24"/>
          <w:lang w:eastAsia="en-GB"/>
        </w:rPr>
        <w:fldChar w:fldCharType="end"/>
      </w:r>
    </w:p>
    <w:p w14:paraId="03DD81D1" w14:textId="77777777" w:rsidR="005A19E9" w:rsidRDefault="005A19E9" w:rsidP="00832845">
      <w:pPr>
        <w:pStyle w:val="ListofFigures"/>
      </w:pPr>
      <w:r>
        <w:t xml:space="preserve">List of </w:t>
      </w:r>
      <w:r w:rsidRPr="00832845">
        <w:t>Tables</w:t>
      </w:r>
    </w:p>
    <w:p w14:paraId="5219A0F3" w14:textId="31C4086E" w:rsidR="000A33E1" w:rsidRDefault="00174347">
      <w:pPr>
        <w:pStyle w:val="TableofFigures"/>
        <w:rPr>
          <w:rFonts w:eastAsiaTheme="minorEastAsia"/>
          <w:i w:val="0"/>
          <w:noProof/>
          <w:color w:val="auto"/>
          <w:kern w:val="2"/>
          <w:sz w:val="24"/>
          <w:szCs w:val="24"/>
          <w:lang w:val="en-US"/>
          <w14:ligatures w14:val="standardContextual"/>
        </w:rPr>
      </w:pPr>
      <w:r>
        <w:rPr>
          <w:b/>
          <w:i w:val="0"/>
          <w:color w:val="00558C" w:themeColor="accent1"/>
        </w:rPr>
        <w:fldChar w:fldCharType="begin"/>
      </w:r>
      <w:r>
        <w:rPr>
          <w:b/>
          <w:i w:val="0"/>
          <w:color w:val="00558C" w:themeColor="accent1"/>
        </w:rPr>
        <w:instrText xml:space="preserve"> TOC \t "Table caption,1" \c "Figure" </w:instrText>
      </w:r>
      <w:r>
        <w:rPr>
          <w:b/>
          <w:i w:val="0"/>
          <w:color w:val="00558C" w:themeColor="accent1"/>
        </w:rPr>
        <w:fldChar w:fldCharType="separate"/>
      </w:r>
      <w:r w:rsidR="000A33E1" w:rsidRPr="00233718">
        <w:rPr>
          <w:rFonts w:ascii="Calibri" w:hAnsi="Calibri"/>
          <w:noProof/>
        </w:rPr>
        <w:t>Table 1</w:t>
      </w:r>
      <w:r w:rsidR="000A33E1">
        <w:rPr>
          <w:rFonts w:eastAsiaTheme="minorEastAsia"/>
          <w:i w:val="0"/>
          <w:noProof/>
          <w:color w:val="auto"/>
          <w:kern w:val="2"/>
          <w:sz w:val="24"/>
          <w:szCs w:val="24"/>
          <w:lang w:val="en-US"/>
          <w14:ligatures w14:val="standardContextual"/>
        </w:rPr>
        <w:tab/>
      </w:r>
      <w:r w:rsidR="000A33E1">
        <w:rPr>
          <w:noProof/>
        </w:rPr>
        <w:t>Level 1 VPFI allocations</w:t>
      </w:r>
      <w:r w:rsidR="000A33E1">
        <w:rPr>
          <w:noProof/>
        </w:rPr>
        <w:tab/>
      </w:r>
      <w:r w:rsidR="000A33E1">
        <w:rPr>
          <w:noProof/>
        </w:rPr>
        <w:fldChar w:fldCharType="begin"/>
      </w:r>
      <w:r w:rsidR="000A33E1">
        <w:rPr>
          <w:noProof/>
        </w:rPr>
        <w:instrText xml:space="preserve"> PAGEREF _Toc209076999 \h </w:instrText>
      </w:r>
      <w:r w:rsidR="000A33E1">
        <w:rPr>
          <w:noProof/>
        </w:rPr>
      </w:r>
      <w:r w:rsidR="000A33E1">
        <w:rPr>
          <w:noProof/>
        </w:rPr>
        <w:fldChar w:fldCharType="separate"/>
      </w:r>
      <w:r w:rsidR="000A33E1">
        <w:rPr>
          <w:noProof/>
        </w:rPr>
        <w:t>6</w:t>
      </w:r>
      <w:r w:rsidR="000A33E1">
        <w:rPr>
          <w:noProof/>
        </w:rPr>
        <w:fldChar w:fldCharType="end"/>
      </w:r>
    </w:p>
    <w:p w14:paraId="559A3D16" w14:textId="3C406457" w:rsidR="005A19E9" w:rsidRDefault="00174347" w:rsidP="005A19E9">
      <w:pPr>
        <w:pStyle w:val="BodyText"/>
      </w:pPr>
      <w:r>
        <w:rPr>
          <w:rFonts w:eastAsiaTheme="minorEastAsia"/>
          <w:b/>
          <w:i/>
          <w:noProof/>
          <w:color w:val="00558C" w:themeColor="accent1"/>
          <w:szCs w:val="24"/>
          <w:lang w:eastAsia="en-GB"/>
        </w:rPr>
        <w:fldChar w:fldCharType="end"/>
      </w:r>
    </w:p>
    <w:p w14:paraId="19265162" w14:textId="77777777" w:rsidR="005A19E9" w:rsidRDefault="005A19E9" w:rsidP="005A19E9">
      <w:pPr>
        <w:pStyle w:val="ListofFigures"/>
      </w:pPr>
      <w:r w:rsidRPr="00441393">
        <w:t>List of Figures</w:t>
      </w:r>
    </w:p>
    <w:p w14:paraId="30D1D816" w14:textId="41B34EA2" w:rsidR="005A19E9" w:rsidRDefault="00920E23" w:rsidP="005A19E9">
      <w:pPr>
        <w:pStyle w:val="BodyText"/>
      </w:pPr>
      <w:r>
        <w:rPr>
          <w:rFonts w:eastAsiaTheme="minorEastAsia"/>
          <w:b/>
          <w:i/>
          <w:noProof/>
          <w:color w:val="00558C" w:themeColor="accent1"/>
          <w:sz w:val="24"/>
          <w:szCs w:val="24"/>
          <w:lang w:eastAsia="en-GB"/>
        </w:rPr>
        <w:fldChar w:fldCharType="begin"/>
      </w:r>
      <w:r>
        <w:instrText xml:space="preserve"> TOC \t "Figure caption" \c </w:instrText>
      </w:r>
      <w:r>
        <w:rPr>
          <w:rFonts w:eastAsiaTheme="minorEastAsia"/>
          <w:b/>
          <w:i/>
          <w:noProof/>
          <w:color w:val="00558C" w:themeColor="accent1"/>
          <w:sz w:val="24"/>
          <w:szCs w:val="24"/>
          <w:lang w:eastAsia="en-GB"/>
        </w:rPr>
        <w:fldChar w:fldCharType="separate"/>
      </w:r>
      <w:r w:rsidR="00770436">
        <w:rPr>
          <w:rFonts w:eastAsiaTheme="minorEastAsia"/>
          <w:bCs/>
          <w:i/>
          <w:noProof/>
          <w:color w:val="00558C" w:themeColor="accent1"/>
          <w:sz w:val="24"/>
          <w:szCs w:val="24"/>
          <w:lang w:val="en-US" w:eastAsia="en-GB"/>
        </w:rPr>
        <w:t>No table of figures entries found.</w:t>
      </w:r>
      <w:r>
        <w:fldChar w:fldCharType="end"/>
      </w:r>
    </w:p>
    <w:p w14:paraId="7D5B88C6" w14:textId="77777777" w:rsidR="00995229" w:rsidRDefault="00995229" w:rsidP="00FB1C7E">
      <w:pPr>
        <w:pStyle w:val="BodyText"/>
        <w:sectPr w:rsidR="00995229" w:rsidSect="0083218D">
          <w:headerReference w:type="even" r:id="rId28"/>
          <w:headerReference w:type="default" r:id="rId29"/>
          <w:headerReference w:type="first" r:id="rId30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</w:p>
    <w:p w14:paraId="3B9B0A64" w14:textId="0E22B7D0" w:rsidR="007D487F" w:rsidRDefault="00D83F5B" w:rsidP="004507BC">
      <w:pPr>
        <w:pStyle w:val="AnnextitleHead1"/>
      </w:pPr>
      <w:r>
        <w:lastRenderedPageBreak/>
        <w:t>The VDE Protocol FormaT Identifier</w:t>
      </w:r>
    </w:p>
    <w:p w14:paraId="45EA7EE9" w14:textId="5D022966" w:rsidR="005A19E9" w:rsidRDefault="00D83F5B" w:rsidP="00CE2A1E">
      <w:pPr>
        <w:pStyle w:val="Heading1"/>
      </w:pPr>
      <w:bookmarkStart w:id="12" w:name="_Toc209076988"/>
      <w:r>
        <w:t>Introduction</w:t>
      </w:r>
      <w:bookmarkEnd w:id="12"/>
    </w:p>
    <w:p w14:paraId="50138FA7" w14:textId="77777777" w:rsidR="009D016E" w:rsidRPr="009D016E" w:rsidRDefault="009D016E" w:rsidP="009D016E">
      <w:pPr>
        <w:pStyle w:val="Heading1separatationline"/>
        <w:rPr>
          <w:lang w:eastAsia="en-GB"/>
        </w:rPr>
      </w:pPr>
    </w:p>
    <w:p w14:paraId="79DDA4FE" w14:textId="3B072687" w:rsidR="00D83F5B" w:rsidRDefault="00D83F5B" w:rsidP="009D4837">
      <w:pPr>
        <w:pStyle w:val="BodyText"/>
      </w:pPr>
      <w:r>
        <w:t xml:space="preserve">The VDE Protocol Format Identifier (VPFI) has the purpose to allow VDE applications to </w:t>
      </w:r>
      <w:r w:rsidR="009D7895">
        <w:t xml:space="preserve">uniquely </w:t>
      </w:r>
      <w:r>
        <w:t xml:space="preserve">identify how to interpret the digital content of VDE messages. </w:t>
      </w:r>
    </w:p>
    <w:p w14:paraId="65D4748B" w14:textId="5BA74802" w:rsidR="00D83F5B" w:rsidRDefault="00D83F5B" w:rsidP="00D83F5B">
      <w:pPr>
        <w:pStyle w:val="Heading1"/>
      </w:pPr>
      <w:bookmarkStart w:id="13" w:name="_Toc209076989"/>
      <w:r>
        <w:t>Concept</w:t>
      </w:r>
      <w:bookmarkEnd w:id="13"/>
    </w:p>
    <w:p w14:paraId="1A48F643" w14:textId="77777777" w:rsidR="00D83F5B" w:rsidRPr="00D83F5B" w:rsidRDefault="00D83F5B" w:rsidP="00D83F5B">
      <w:pPr>
        <w:pStyle w:val="Heading1separationline"/>
      </w:pPr>
    </w:p>
    <w:p w14:paraId="2246BC0A" w14:textId="74AE8FF4" w:rsidR="00D83F5B" w:rsidRDefault="00957928" w:rsidP="009D4837">
      <w:pPr>
        <w:pStyle w:val="BodyText"/>
      </w:pPr>
      <w:r>
        <w:t xml:space="preserve">The VPFI is a </w:t>
      </w:r>
      <w:r w:rsidR="009D7895">
        <w:t xml:space="preserve">unique </w:t>
      </w:r>
      <w:r>
        <w:t>number</w:t>
      </w:r>
      <w:r w:rsidR="009D7895">
        <w:t xml:space="preserve"> in the range from 0 to </w:t>
      </w:r>
      <w:r w:rsidR="000E709F">
        <w:t>infinite</w:t>
      </w:r>
      <w:r>
        <w:t xml:space="preserve"> that </w:t>
      </w:r>
      <w:r w:rsidR="009D7895">
        <w:t xml:space="preserve">uniquely and globally </w:t>
      </w:r>
      <w:r>
        <w:t>identifies the</w:t>
      </w:r>
      <w:r w:rsidR="009D7895">
        <w:t xml:space="preserve"> specific</w:t>
      </w:r>
      <w:r>
        <w:t xml:space="preserve"> protocol or data format for </w:t>
      </w:r>
      <w:r w:rsidR="009D7895">
        <w:t>the</w:t>
      </w:r>
      <w:r>
        <w:t xml:space="preserve"> digital content that is following the VPFI</w:t>
      </w:r>
      <w:r w:rsidR="00BA5214">
        <w:t xml:space="preserve"> in the data that is received or sent via VDE-TER or VDE-SAT</w:t>
      </w:r>
      <w:r>
        <w:t>.</w:t>
      </w:r>
    </w:p>
    <w:p w14:paraId="6B94F833" w14:textId="19B8AD3F" w:rsidR="001B05F5" w:rsidRDefault="001B05F5" w:rsidP="009D4837">
      <w:pPr>
        <w:pStyle w:val="BodyText"/>
      </w:pPr>
      <w:r>
        <w:t>This recommendation identifies a given identifier number and the associated application guideline or reference using that VPFI.</w:t>
      </w:r>
    </w:p>
    <w:p w14:paraId="43D3F93A" w14:textId="780AA3F8" w:rsidR="00BA5214" w:rsidRDefault="008B66B8" w:rsidP="008B66B8">
      <w:pPr>
        <w:pStyle w:val="Caption"/>
      </w:pPr>
      <w:bookmarkStart w:id="14" w:name="_Ref208420409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4"/>
      <w:r>
        <w:tab/>
      </w:r>
      <w:r w:rsidR="00FA55F8">
        <w:t>Variable size</w:t>
      </w:r>
      <w:r w:rsidR="00BA5214">
        <w:t xml:space="preserve"> of the VPFI in VDE Data</w:t>
      </w:r>
      <w:r w:rsidR="004E18A2">
        <w:t xml:space="preserve"> as seen on the application interface of the VDES Transceiver (PI)</w:t>
      </w:r>
      <w:r w:rsidR="00FA55F8">
        <w:t>; shown are examples with 1, 2 or 3 bytes of VPFI</w:t>
      </w:r>
      <w:r w:rsidR="004C77DC">
        <w:t>; more bytes can be used, the concept stays the same.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5"/>
        <w:gridCol w:w="1620"/>
        <w:gridCol w:w="1800"/>
        <w:gridCol w:w="1800"/>
      </w:tblGrid>
      <w:tr w:rsidR="004E18A2" w14:paraId="7625509F" w14:textId="505C060C" w:rsidTr="00263EBE">
        <w:trPr>
          <w:trHeight w:val="380"/>
          <w:jc w:val="center"/>
        </w:trPr>
        <w:tc>
          <w:tcPr>
            <w:tcW w:w="1075" w:type="dxa"/>
          </w:tcPr>
          <w:p w14:paraId="5B8B5812" w14:textId="2E0E22C0" w:rsidR="004E18A2" w:rsidRDefault="004E18A2" w:rsidP="009D4837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Byte</w:t>
            </w:r>
          </w:p>
        </w:tc>
        <w:tc>
          <w:tcPr>
            <w:tcW w:w="1620" w:type="dxa"/>
          </w:tcPr>
          <w:p w14:paraId="0E92ABAB" w14:textId="17D4D8BC" w:rsidR="004E18A2" w:rsidRPr="004E18A2" w:rsidRDefault="004E18A2" w:rsidP="009D4837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1-Byte VPFI</w:t>
            </w:r>
          </w:p>
        </w:tc>
        <w:tc>
          <w:tcPr>
            <w:tcW w:w="1800" w:type="dxa"/>
          </w:tcPr>
          <w:p w14:paraId="2BD06E54" w14:textId="4D732F9A" w:rsidR="004E18A2" w:rsidRPr="004E18A2" w:rsidRDefault="004E18A2" w:rsidP="009D4837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2- byte VPFI</w:t>
            </w:r>
          </w:p>
        </w:tc>
        <w:tc>
          <w:tcPr>
            <w:tcW w:w="1800" w:type="dxa"/>
          </w:tcPr>
          <w:p w14:paraId="7560D5C5" w14:textId="08CF5B6D" w:rsidR="004E18A2" w:rsidRDefault="004E18A2" w:rsidP="009D4837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3-byte VPFI</w:t>
            </w:r>
          </w:p>
        </w:tc>
      </w:tr>
      <w:tr w:rsidR="004E18A2" w14:paraId="4F0770F7" w14:textId="1EF5D77C" w:rsidTr="00263EBE">
        <w:trPr>
          <w:trHeight w:val="380"/>
          <w:jc w:val="center"/>
        </w:trPr>
        <w:tc>
          <w:tcPr>
            <w:tcW w:w="1075" w:type="dxa"/>
          </w:tcPr>
          <w:p w14:paraId="29DD4CE6" w14:textId="074476A0" w:rsidR="004E18A2" w:rsidRDefault="004E18A2" w:rsidP="009D4837">
            <w:pPr>
              <w:pStyle w:val="BodyText"/>
            </w:pPr>
            <w:r>
              <w:t>1</w:t>
            </w:r>
          </w:p>
        </w:tc>
        <w:tc>
          <w:tcPr>
            <w:tcW w:w="1620" w:type="dxa"/>
          </w:tcPr>
          <w:p w14:paraId="6C608CD3" w14:textId="0BBE9816" w:rsidR="004E18A2" w:rsidRDefault="004E18A2" w:rsidP="009D4837">
            <w:pPr>
              <w:pStyle w:val="BodyText"/>
            </w:pPr>
            <w:r>
              <w:t>VDE Protocol Identifier (VPFI)</w:t>
            </w:r>
          </w:p>
        </w:tc>
        <w:tc>
          <w:tcPr>
            <w:tcW w:w="1800" w:type="dxa"/>
            <w:vMerge w:val="restart"/>
          </w:tcPr>
          <w:p w14:paraId="68FF1EDB" w14:textId="3A25D36C" w:rsidR="004E18A2" w:rsidRDefault="004E18A2" w:rsidP="009D4837">
            <w:pPr>
              <w:pStyle w:val="BodyText"/>
            </w:pPr>
            <w:r>
              <w:t>VDE Protocol Identifier (VPFI)</w:t>
            </w:r>
          </w:p>
        </w:tc>
        <w:tc>
          <w:tcPr>
            <w:tcW w:w="1800" w:type="dxa"/>
            <w:vMerge w:val="restart"/>
          </w:tcPr>
          <w:p w14:paraId="58587FB2" w14:textId="19D520A8" w:rsidR="004E18A2" w:rsidRDefault="004E18A2" w:rsidP="009D4837">
            <w:pPr>
              <w:pStyle w:val="BodyText"/>
            </w:pPr>
            <w:r>
              <w:t>VDE Protocol Identifier (VPFI)</w:t>
            </w:r>
          </w:p>
        </w:tc>
      </w:tr>
      <w:tr w:rsidR="004E18A2" w14:paraId="7C80F81F" w14:textId="5627ACB9" w:rsidTr="00263EBE">
        <w:trPr>
          <w:trHeight w:val="380"/>
          <w:jc w:val="center"/>
        </w:trPr>
        <w:tc>
          <w:tcPr>
            <w:tcW w:w="1075" w:type="dxa"/>
          </w:tcPr>
          <w:p w14:paraId="73AAFED2" w14:textId="793DA75A" w:rsidR="004E18A2" w:rsidRDefault="004E18A2" w:rsidP="009D4837">
            <w:pPr>
              <w:pStyle w:val="BodyText"/>
            </w:pPr>
            <w:r>
              <w:t>2</w:t>
            </w:r>
          </w:p>
        </w:tc>
        <w:tc>
          <w:tcPr>
            <w:tcW w:w="1620" w:type="dxa"/>
            <w:vMerge w:val="restart"/>
          </w:tcPr>
          <w:p w14:paraId="6B858660" w14:textId="29DBE348" w:rsidR="004E18A2" w:rsidRDefault="004E18A2" w:rsidP="009D4837">
            <w:pPr>
              <w:pStyle w:val="BodyText"/>
            </w:pPr>
            <w:r>
              <w:t>VDE Application Data</w:t>
            </w:r>
          </w:p>
        </w:tc>
        <w:tc>
          <w:tcPr>
            <w:tcW w:w="1800" w:type="dxa"/>
            <w:vMerge/>
          </w:tcPr>
          <w:p w14:paraId="7177DA76" w14:textId="77777777" w:rsidR="004E18A2" w:rsidRDefault="004E18A2" w:rsidP="009D4837">
            <w:pPr>
              <w:pStyle w:val="BodyText"/>
            </w:pPr>
          </w:p>
        </w:tc>
        <w:tc>
          <w:tcPr>
            <w:tcW w:w="1800" w:type="dxa"/>
            <w:vMerge/>
          </w:tcPr>
          <w:p w14:paraId="4B1A25F9" w14:textId="77777777" w:rsidR="004E18A2" w:rsidRDefault="004E18A2" w:rsidP="009D4837">
            <w:pPr>
              <w:pStyle w:val="BodyText"/>
            </w:pPr>
          </w:p>
        </w:tc>
      </w:tr>
      <w:tr w:rsidR="004E18A2" w14:paraId="13619341" w14:textId="452FA975" w:rsidTr="00263EBE">
        <w:trPr>
          <w:trHeight w:val="380"/>
          <w:jc w:val="center"/>
        </w:trPr>
        <w:tc>
          <w:tcPr>
            <w:tcW w:w="1075" w:type="dxa"/>
          </w:tcPr>
          <w:p w14:paraId="21F07B34" w14:textId="7008976E" w:rsidR="004E18A2" w:rsidRDefault="004E18A2" w:rsidP="009D4837">
            <w:pPr>
              <w:pStyle w:val="BodyText"/>
            </w:pPr>
            <w:r>
              <w:t>3</w:t>
            </w:r>
          </w:p>
        </w:tc>
        <w:tc>
          <w:tcPr>
            <w:tcW w:w="1620" w:type="dxa"/>
            <w:vMerge/>
          </w:tcPr>
          <w:p w14:paraId="4AB8DBFE" w14:textId="01FEAAF0" w:rsidR="004E18A2" w:rsidRDefault="004E18A2" w:rsidP="009D4837">
            <w:pPr>
              <w:pStyle w:val="BodyText"/>
            </w:pPr>
          </w:p>
        </w:tc>
        <w:tc>
          <w:tcPr>
            <w:tcW w:w="1800" w:type="dxa"/>
            <w:vMerge w:val="restart"/>
          </w:tcPr>
          <w:p w14:paraId="30DC6D80" w14:textId="572572C4" w:rsidR="004E18A2" w:rsidRDefault="004E18A2" w:rsidP="009D4837">
            <w:pPr>
              <w:pStyle w:val="BodyText"/>
            </w:pPr>
            <w:r>
              <w:t>VDE Application Data</w:t>
            </w:r>
          </w:p>
        </w:tc>
        <w:tc>
          <w:tcPr>
            <w:tcW w:w="1800" w:type="dxa"/>
            <w:vMerge/>
          </w:tcPr>
          <w:p w14:paraId="5084CBD7" w14:textId="77777777" w:rsidR="004E18A2" w:rsidRDefault="004E18A2" w:rsidP="009D4837">
            <w:pPr>
              <w:pStyle w:val="BodyText"/>
            </w:pPr>
          </w:p>
        </w:tc>
      </w:tr>
      <w:tr w:rsidR="004E18A2" w14:paraId="584BC70C" w14:textId="118CC4E2" w:rsidTr="00263EBE">
        <w:trPr>
          <w:trHeight w:val="380"/>
          <w:jc w:val="center"/>
        </w:trPr>
        <w:tc>
          <w:tcPr>
            <w:tcW w:w="1075" w:type="dxa"/>
          </w:tcPr>
          <w:p w14:paraId="7205B624" w14:textId="5F0CD886" w:rsidR="004E18A2" w:rsidRDefault="004E18A2" w:rsidP="009D4837">
            <w:pPr>
              <w:pStyle w:val="BodyText"/>
            </w:pPr>
            <w:r>
              <w:t>4</w:t>
            </w:r>
          </w:p>
        </w:tc>
        <w:tc>
          <w:tcPr>
            <w:tcW w:w="1620" w:type="dxa"/>
            <w:vMerge/>
          </w:tcPr>
          <w:p w14:paraId="34C6C4F9" w14:textId="21B32E58" w:rsidR="004E18A2" w:rsidRDefault="004E18A2" w:rsidP="009D4837">
            <w:pPr>
              <w:pStyle w:val="BodyText"/>
            </w:pPr>
          </w:p>
        </w:tc>
        <w:tc>
          <w:tcPr>
            <w:tcW w:w="1800" w:type="dxa"/>
            <w:vMerge/>
          </w:tcPr>
          <w:p w14:paraId="487F577A" w14:textId="77777777" w:rsidR="004E18A2" w:rsidRDefault="004E18A2" w:rsidP="009D4837">
            <w:pPr>
              <w:pStyle w:val="BodyText"/>
            </w:pPr>
          </w:p>
        </w:tc>
        <w:tc>
          <w:tcPr>
            <w:tcW w:w="1800" w:type="dxa"/>
            <w:vMerge w:val="restart"/>
          </w:tcPr>
          <w:p w14:paraId="6069DA68" w14:textId="67F2F412" w:rsidR="004E18A2" w:rsidRDefault="004E18A2" w:rsidP="009D4837">
            <w:pPr>
              <w:pStyle w:val="BodyText"/>
            </w:pPr>
            <w:r>
              <w:t>VDE Application Data</w:t>
            </w:r>
          </w:p>
        </w:tc>
      </w:tr>
      <w:tr w:rsidR="004E18A2" w14:paraId="3BAB87C4" w14:textId="57ECAC7C" w:rsidTr="00263EBE">
        <w:trPr>
          <w:trHeight w:val="380"/>
          <w:jc w:val="center"/>
        </w:trPr>
        <w:tc>
          <w:tcPr>
            <w:tcW w:w="1075" w:type="dxa"/>
          </w:tcPr>
          <w:p w14:paraId="54E9FEDD" w14:textId="656856C9" w:rsidR="004E18A2" w:rsidRDefault="004E18A2" w:rsidP="009D4837">
            <w:pPr>
              <w:pStyle w:val="BodyText"/>
            </w:pPr>
            <w:r>
              <w:t>5 … n</w:t>
            </w:r>
          </w:p>
        </w:tc>
        <w:tc>
          <w:tcPr>
            <w:tcW w:w="1620" w:type="dxa"/>
            <w:vMerge/>
          </w:tcPr>
          <w:p w14:paraId="2FE34265" w14:textId="77777777" w:rsidR="004E18A2" w:rsidRDefault="004E18A2" w:rsidP="009D4837">
            <w:pPr>
              <w:pStyle w:val="BodyText"/>
            </w:pPr>
          </w:p>
        </w:tc>
        <w:tc>
          <w:tcPr>
            <w:tcW w:w="1800" w:type="dxa"/>
            <w:vMerge/>
          </w:tcPr>
          <w:p w14:paraId="3C76FBED" w14:textId="77777777" w:rsidR="004E18A2" w:rsidRDefault="004E18A2" w:rsidP="009D4837">
            <w:pPr>
              <w:pStyle w:val="BodyText"/>
            </w:pPr>
          </w:p>
        </w:tc>
        <w:tc>
          <w:tcPr>
            <w:tcW w:w="1800" w:type="dxa"/>
            <w:vMerge/>
          </w:tcPr>
          <w:p w14:paraId="2DA1EFAF" w14:textId="77777777" w:rsidR="004E18A2" w:rsidRDefault="004E18A2" w:rsidP="009D4837">
            <w:pPr>
              <w:pStyle w:val="BodyText"/>
            </w:pPr>
          </w:p>
        </w:tc>
      </w:tr>
    </w:tbl>
    <w:p w14:paraId="041E71FC" w14:textId="77777777" w:rsidR="00BA5214" w:rsidRDefault="00BA5214" w:rsidP="009D4837">
      <w:pPr>
        <w:pStyle w:val="BodyText"/>
      </w:pPr>
    </w:p>
    <w:p w14:paraId="4D443004" w14:textId="7C898153" w:rsidR="00995229" w:rsidRPr="00102F6C" w:rsidRDefault="001B05F5" w:rsidP="009D4837">
      <w:pPr>
        <w:pStyle w:val="Heading2"/>
      </w:pPr>
      <w:bookmarkStart w:id="15" w:name="_Toc209076990"/>
      <w:r>
        <w:t>VDES Protocol Format Identifiers</w:t>
      </w:r>
      <w:bookmarkEnd w:id="15"/>
    </w:p>
    <w:p w14:paraId="4BF2E1A5" w14:textId="77777777" w:rsidR="00995229" w:rsidRDefault="00995229" w:rsidP="00995229">
      <w:pPr>
        <w:pStyle w:val="Heading2separationline"/>
      </w:pPr>
    </w:p>
    <w:p w14:paraId="23AA3F0B" w14:textId="6CFAD204" w:rsidR="008674C1" w:rsidRDefault="00FA55F8" w:rsidP="008674C1">
      <w:pPr>
        <w:spacing w:after="120"/>
        <w:jc w:val="both"/>
        <w:rPr>
          <w:sz w:val="22"/>
        </w:rPr>
      </w:pPr>
      <w:r>
        <w:rPr>
          <w:sz w:val="22"/>
        </w:rPr>
        <w:t xml:space="preserve">The different bytes in a VPFI are identified as Levels. </w:t>
      </w:r>
    </w:p>
    <w:p w14:paraId="3742930D" w14:textId="63C7FDEA" w:rsidR="008B66B8" w:rsidRDefault="008B66B8" w:rsidP="008674C1">
      <w:pPr>
        <w:spacing w:after="120"/>
        <w:jc w:val="both"/>
        <w:rPr>
          <w:sz w:val="22"/>
        </w:rPr>
      </w:pPr>
      <w:r>
        <w:rPr>
          <w:sz w:val="22"/>
        </w:rPr>
        <w:t xml:space="preserve">As indicated in </w:t>
      </w:r>
      <w:r w:rsidRPr="008B66B8">
        <w:rPr>
          <w:sz w:val="22"/>
        </w:rPr>
        <w:fldChar w:fldCharType="begin"/>
      </w:r>
      <w:r w:rsidRPr="008B66B8">
        <w:rPr>
          <w:sz w:val="22"/>
        </w:rPr>
        <w:instrText xml:space="preserve"> REF _Ref208420409 \h </w:instrText>
      </w:r>
      <w:r w:rsidRPr="008B66B8">
        <w:rPr>
          <w:sz w:val="22"/>
        </w:rPr>
      </w:r>
      <w:r>
        <w:rPr>
          <w:sz w:val="22"/>
        </w:rPr>
        <w:instrText xml:space="preserve"> \* MERGEFORMAT </w:instrText>
      </w:r>
      <w:r w:rsidRPr="008B66B8">
        <w:rPr>
          <w:sz w:val="22"/>
        </w:rPr>
        <w:fldChar w:fldCharType="separate"/>
      </w:r>
      <w:r w:rsidRPr="008B66B8">
        <w:rPr>
          <w:sz w:val="22"/>
        </w:rPr>
        <w:t xml:space="preserve">Table </w:t>
      </w:r>
      <w:r w:rsidRPr="008B66B8">
        <w:rPr>
          <w:noProof/>
          <w:sz w:val="22"/>
        </w:rPr>
        <w:t>1</w:t>
      </w:r>
      <w:r w:rsidRPr="008B66B8">
        <w:rPr>
          <w:sz w:val="22"/>
        </w:rPr>
        <w:fldChar w:fldCharType="end"/>
      </w:r>
      <w:r w:rsidRPr="008B66B8">
        <w:rPr>
          <w:sz w:val="22"/>
        </w:rPr>
        <w:t>,</w:t>
      </w:r>
    </w:p>
    <w:p w14:paraId="23D93CAC" w14:textId="60FC8BAC" w:rsidR="00FA55F8" w:rsidRDefault="00FA55F8" w:rsidP="008674C1">
      <w:pPr>
        <w:spacing w:after="120"/>
        <w:jc w:val="both"/>
        <w:rPr>
          <w:sz w:val="22"/>
        </w:rPr>
      </w:pPr>
      <w:r>
        <w:rPr>
          <w:sz w:val="22"/>
        </w:rPr>
        <w:t xml:space="preserve">A 1-byte </w:t>
      </w:r>
      <w:r w:rsidR="000E709F">
        <w:rPr>
          <w:sz w:val="22"/>
        </w:rPr>
        <w:t xml:space="preserve">“Level 1” </w:t>
      </w:r>
      <w:r>
        <w:rPr>
          <w:sz w:val="22"/>
        </w:rPr>
        <w:t xml:space="preserve">VPFI provides </w:t>
      </w:r>
      <w:r w:rsidR="000E709F">
        <w:rPr>
          <w:sz w:val="22"/>
        </w:rPr>
        <w:t>room to distinguish 128 protocols or data formats</w:t>
      </w:r>
      <w:r>
        <w:rPr>
          <w:sz w:val="22"/>
        </w:rPr>
        <w:t>.</w:t>
      </w:r>
    </w:p>
    <w:p w14:paraId="109CB295" w14:textId="3596E23C" w:rsidR="00FA55F8" w:rsidRDefault="00FA55F8" w:rsidP="008674C1">
      <w:pPr>
        <w:spacing w:after="120"/>
        <w:jc w:val="both"/>
        <w:rPr>
          <w:sz w:val="22"/>
        </w:rPr>
      </w:pPr>
      <w:r>
        <w:rPr>
          <w:sz w:val="22"/>
        </w:rPr>
        <w:t xml:space="preserve">A 2-byte </w:t>
      </w:r>
      <w:r w:rsidR="000E709F">
        <w:rPr>
          <w:sz w:val="22"/>
        </w:rPr>
        <w:t xml:space="preserve">“Level 2” </w:t>
      </w:r>
      <w:r>
        <w:rPr>
          <w:sz w:val="22"/>
        </w:rPr>
        <w:t>VPFI</w:t>
      </w:r>
      <w:r w:rsidR="000E709F">
        <w:rPr>
          <w:sz w:val="22"/>
        </w:rPr>
        <w:t xml:space="preserve"> provides room </w:t>
      </w:r>
      <w:r w:rsidR="000E709F">
        <w:rPr>
          <w:sz w:val="22"/>
        </w:rPr>
        <w:t>to distinguish</w:t>
      </w:r>
      <w:r w:rsidR="000E709F">
        <w:rPr>
          <w:sz w:val="22"/>
        </w:rPr>
        <w:t xml:space="preserve"> 128</w:t>
      </w:r>
      <w:r w:rsidR="000E709F">
        <w:rPr>
          <w:sz w:val="22"/>
          <w:vertAlign w:val="superscript"/>
        </w:rPr>
        <w:t xml:space="preserve">2 </w:t>
      </w:r>
      <w:r w:rsidR="000E709F">
        <w:rPr>
          <w:sz w:val="22"/>
        </w:rPr>
        <w:t xml:space="preserve">= 16,384 </w:t>
      </w:r>
      <w:r w:rsidR="000E709F">
        <w:rPr>
          <w:sz w:val="22"/>
        </w:rPr>
        <w:t xml:space="preserve">protocols or data </w:t>
      </w:r>
      <w:r w:rsidR="000E709F">
        <w:rPr>
          <w:sz w:val="22"/>
        </w:rPr>
        <w:t>formats</w:t>
      </w:r>
      <w:r>
        <w:rPr>
          <w:sz w:val="22"/>
        </w:rPr>
        <w:t>.</w:t>
      </w:r>
    </w:p>
    <w:p w14:paraId="00A949B6" w14:textId="6E870417" w:rsidR="001A5A05" w:rsidRDefault="00FA55F8" w:rsidP="008674C1">
      <w:pPr>
        <w:spacing w:after="120"/>
        <w:jc w:val="both"/>
        <w:rPr>
          <w:sz w:val="22"/>
        </w:rPr>
      </w:pPr>
      <w:r>
        <w:rPr>
          <w:sz w:val="22"/>
        </w:rPr>
        <w:t>A 3-byte</w:t>
      </w:r>
      <w:r w:rsidR="000E709F">
        <w:rPr>
          <w:sz w:val="22"/>
        </w:rPr>
        <w:t xml:space="preserve"> “Level 3”</w:t>
      </w:r>
      <w:r>
        <w:rPr>
          <w:sz w:val="22"/>
        </w:rPr>
        <w:t xml:space="preserve"> VPFI </w:t>
      </w:r>
      <w:r w:rsidR="000E709F">
        <w:rPr>
          <w:sz w:val="22"/>
        </w:rPr>
        <w:t>provides room to distinguish 128</w:t>
      </w:r>
      <w:r w:rsidR="000E709F">
        <w:rPr>
          <w:sz w:val="22"/>
          <w:vertAlign w:val="superscript"/>
        </w:rPr>
        <w:t>3</w:t>
      </w:r>
      <w:r w:rsidR="000E709F">
        <w:rPr>
          <w:sz w:val="22"/>
          <w:vertAlign w:val="superscript"/>
        </w:rPr>
        <w:t xml:space="preserve"> </w:t>
      </w:r>
      <w:r w:rsidR="000E709F">
        <w:rPr>
          <w:sz w:val="22"/>
        </w:rPr>
        <w:t xml:space="preserve">= </w:t>
      </w:r>
      <w:r w:rsidR="000E709F">
        <w:rPr>
          <w:sz w:val="22"/>
        </w:rPr>
        <w:t>2,097,152</w:t>
      </w:r>
      <w:r w:rsidR="000E709F">
        <w:rPr>
          <w:sz w:val="22"/>
        </w:rPr>
        <w:t xml:space="preserve"> protocols or data </w:t>
      </w:r>
      <w:r w:rsidR="000E709F">
        <w:rPr>
          <w:sz w:val="22"/>
        </w:rPr>
        <w:t>formats</w:t>
      </w:r>
      <w:r w:rsidR="000E709F">
        <w:rPr>
          <w:sz w:val="22"/>
        </w:rPr>
        <w:t>.</w:t>
      </w:r>
    </w:p>
    <w:p w14:paraId="0AFF1CFC" w14:textId="6093554E" w:rsidR="000E709F" w:rsidRDefault="000E709F" w:rsidP="008674C1">
      <w:pPr>
        <w:spacing w:after="120"/>
        <w:jc w:val="both"/>
        <w:rPr>
          <w:sz w:val="22"/>
        </w:rPr>
      </w:pPr>
      <w:r>
        <w:rPr>
          <w:sz w:val="22"/>
        </w:rPr>
        <w:t xml:space="preserve">A </w:t>
      </w:r>
      <w:r>
        <w:rPr>
          <w:sz w:val="22"/>
        </w:rPr>
        <w:t>N</w:t>
      </w:r>
      <w:r>
        <w:rPr>
          <w:sz w:val="22"/>
        </w:rPr>
        <w:t xml:space="preserve">-byte “Level </w:t>
      </w:r>
      <w:r>
        <w:rPr>
          <w:sz w:val="22"/>
        </w:rPr>
        <w:t>N</w:t>
      </w:r>
      <w:r>
        <w:rPr>
          <w:sz w:val="22"/>
        </w:rPr>
        <w:t>” VPFI provides room to distinguish 128</w:t>
      </w:r>
      <w:r>
        <w:rPr>
          <w:sz w:val="22"/>
          <w:vertAlign w:val="superscript"/>
        </w:rPr>
        <w:t>N</w:t>
      </w:r>
      <w:r>
        <w:rPr>
          <w:sz w:val="22"/>
          <w:vertAlign w:val="superscript"/>
        </w:rPr>
        <w:t xml:space="preserve"> </w:t>
      </w:r>
      <w:r>
        <w:rPr>
          <w:sz w:val="22"/>
        </w:rPr>
        <w:t>protocols or data formats.</w:t>
      </w:r>
    </w:p>
    <w:p w14:paraId="27BF2C5F" w14:textId="7B622EC6" w:rsidR="00FA55F8" w:rsidRDefault="00FA55F8" w:rsidP="008674C1">
      <w:pPr>
        <w:spacing w:after="120"/>
        <w:jc w:val="both"/>
        <w:rPr>
          <w:sz w:val="22"/>
        </w:rPr>
      </w:pPr>
      <w:r>
        <w:rPr>
          <w:sz w:val="22"/>
        </w:rPr>
        <w:t>There is no limit as to how many bytes can be used to identify a VPFI, which gives a</w:t>
      </w:r>
      <w:r w:rsidR="00364A5E">
        <w:rPr>
          <w:sz w:val="22"/>
        </w:rPr>
        <w:t>n</w:t>
      </w:r>
      <w:r>
        <w:rPr>
          <w:sz w:val="22"/>
        </w:rPr>
        <w:t xml:space="preserve"> unlimited amount of VDE Application Protocols that can be identified.</w:t>
      </w:r>
    </w:p>
    <w:p w14:paraId="2ACD1D95" w14:textId="05DE96C9" w:rsidR="009D7895" w:rsidRDefault="009D7895" w:rsidP="008674C1">
      <w:pPr>
        <w:spacing w:after="120"/>
        <w:jc w:val="both"/>
        <w:rPr>
          <w:sz w:val="22"/>
        </w:rPr>
      </w:pPr>
      <w:r>
        <w:rPr>
          <w:sz w:val="22"/>
        </w:rPr>
        <w:t xml:space="preserve">As a </w:t>
      </w:r>
      <w:r w:rsidR="001A5A05">
        <w:rPr>
          <w:sz w:val="22"/>
        </w:rPr>
        <w:t>rule,</w:t>
      </w:r>
      <w:r>
        <w:rPr>
          <w:sz w:val="22"/>
        </w:rPr>
        <w:t xml:space="preserve"> </w:t>
      </w:r>
      <w:r w:rsidR="001A5A05">
        <w:rPr>
          <w:sz w:val="22"/>
        </w:rPr>
        <w:t>only VDES or AIS internal relevant applications, or international standardized applications should use 1-byte VPFI, as there only are 128 identifiers in Level 1 and they have in common to require a minimum of overhead.</w:t>
      </w:r>
    </w:p>
    <w:p w14:paraId="0B437FEE" w14:textId="286AA5C7" w:rsidR="001A5A05" w:rsidRDefault="001A347F" w:rsidP="008674C1">
      <w:pPr>
        <w:spacing w:after="120"/>
        <w:jc w:val="both"/>
        <w:rPr>
          <w:sz w:val="22"/>
        </w:rPr>
      </w:pPr>
      <w:r>
        <w:rPr>
          <w:sz w:val="22"/>
        </w:rPr>
        <w:t>Less widely</w:t>
      </w:r>
      <w:r w:rsidR="001A5A05">
        <w:rPr>
          <w:sz w:val="22"/>
        </w:rPr>
        <w:t xml:space="preserve"> used </w:t>
      </w:r>
      <w:r>
        <w:rPr>
          <w:sz w:val="22"/>
        </w:rPr>
        <w:t>protocols or data formats</w:t>
      </w:r>
      <w:r w:rsidR="001A5A05">
        <w:rPr>
          <w:sz w:val="22"/>
        </w:rPr>
        <w:t xml:space="preserve"> should use </w:t>
      </w:r>
      <w:r>
        <w:rPr>
          <w:sz w:val="22"/>
        </w:rPr>
        <w:t>Level 2</w:t>
      </w:r>
      <w:r w:rsidR="001A5A05">
        <w:rPr>
          <w:sz w:val="22"/>
        </w:rPr>
        <w:t xml:space="preserve"> VPFI.</w:t>
      </w:r>
    </w:p>
    <w:p w14:paraId="11B5C4B9" w14:textId="3C5269A1" w:rsidR="001A5A05" w:rsidRDefault="001A5A05" w:rsidP="008674C1">
      <w:pPr>
        <w:spacing w:after="120"/>
        <w:jc w:val="both"/>
        <w:rPr>
          <w:sz w:val="22"/>
        </w:rPr>
      </w:pPr>
      <w:r>
        <w:rPr>
          <w:sz w:val="22"/>
        </w:rPr>
        <w:t xml:space="preserve">Regional Applications should only use </w:t>
      </w:r>
      <w:r w:rsidR="001A347F">
        <w:rPr>
          <w:sz w:val="22"/>
        </w:rPr>
        <w:t xml:space="preserve">a Level 2 or higher level </w:t>
      </w:r>
      <w:r>
        <w:rPr>
          <w:sz w:val="22"/>
        </w:rPr>
        <w:t>VPFI with 2 or more bytes.</w:t>
      </w:r>
    </w:p>
    <w:p w14:paraId="4BFC08C4" w14:textId="65153BC9" w:rsidR="000A41B1" w:rsidRDefault="000A41B1" w:rsidP="00CE2A1E">
      <w:pPr>
        <w:pStyle w:val="Heading3"/>
      </w:pPr>
      <w:bookmarkStart w:id="16" w:name="_Toc209076991"/>
      <w:r>
        <w:lastRenderedPageBreak/>
        <w:t>Level 1</w:t>
      </w:r>
      <w:bookmarkEnd w:id="16"/>
    </w:p>
    <w:p w14:paraId="74800828" w14:textId="2B1C96A6" w:rsidR="000A41B1" w:rsidRDefault="000A41B1" w:rsidP="000A41B1">
      <w:pPr>
        <w:pStyle w:val="BodyText"/>
      </w:pPr>
      <w:r>
        <w:t>The first byte of the VPFI identifies:</w:t>
      </w:r>
    </w:p>
    <w:p w14:paraId="4A1CEAD9" w14:textId="4DCD596E" w:rsidR="000A41B1" w:rsidRDefault="000A41B1" w:rsidP="000A41B1">
      <w:pPr>
        <w:pStyle w:val="BodyText"/>
        <w:numPr>
          <w:ilvl w:val="0"/>
          <w:numId w:val="47"/>
        </w:numPr>
      </w:pPr>
      <w:r>
        <w:t>If there follows another byte to extend the VPFI range, and</w:t>
      </w:r>
    </w:p>
    <w:p w14:paraId="32EE6873" w14:textId="47E00678" w:rsidR="000A41B1" w:rsidRDefault="005C2408" w:rsidP="000A41B1">
      <w:pPr>
        <w:pStyle w:val="BodyText"/>
        <w:numPr>
          <w:ilvl w:val="0"/>
          <w:numId w:val="47"/>
        </w:numPr>
      </w:pPr>
      <w:r>
        <w:t>applications</w:t>
      </w:r>
      <w:r w:rsidR="000A41B1">
        <w:t xml:space="preserve"> that only require 1 byte of overhead to be indicated.</w:t>
      </w:r>
    </w:p>
    <w:p w14:paraId="278329DC" w14:textId="371C90E6" w:rsidR="000A41B1" w:rsidRDefault="005C2408" w:rsidP="000A41B1">
      <w:pPr>
        <w:pStyle w:val="Tablecaption"/>
      </w:pPr>
      <w:bookmarkStart w:id="17" w:name="_Toc209076999"/>
      <w:r>
        <w:t>Level 1 VPFI allocations</w:t>
      </w:r>
      <w:bookmarkEnd w:id="1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3600"/>
        <w:gridCol w:w="5070"/>
      </w:tblGrid>
      <w:tr w:rsidR="000A41B1" w14:paraId="39DAE486" w14:textId="77777777" w:rsidTr="000A41B1">
        <w:tc>
          <w:tcPr>
            <w:tcW w:w="1525" w:type="dxa"/>
          </w:tcPr>
          <w:p w14:paraId="6DE99EC8" w14:textId="7B746142" w:rsidR="000A41B1" w:rsidRDefault="000A41B1" w:rsidP="00650F1B">
            <w:pPr>
              <w:pStyle w:val="Tableheading"/>
            </w:pPr>
            <w:r>
              <w:t>VPFI Byte 1 content</w:t>
            </w:r>
          </w:p>
        </w:tc>
        <w:tc>
          <w:tcPr>
            <w:tcW w:w="3600" w:type="dxa"/>
          </w:tcPr>
          <w:p w14:paraId="367D51E6" w14:textId="3C02DB69" w:rsidR="000A41B1" w:rsidRDefault="000A41B1" w:rsidP="00650F1B">
            <w:pPr>
              <w:pStyle w:val="Tableheading"/>
            </w:pPr>
            <w:r>
              <w:t>Application Name</w:t>
            </w:r>
          </w:p>
        </w:tc>
        <w:tc>
          <w:tcPr>
            <w:tcW w:w="5070" w:type="dxa"/>
          </w:tcPr>
          <w:p w14:paraId="00BBA5F9" w14:textId="2688843A" w:rsidR="000A41B1" w:rsidRDefault="000A41B1" w:rsidP="00650F1B">
            <w:pPr>
              <w:pStyle w:val="Tableheading"/>
            </w:pPr>
            <w:r>
              <w:t>Reference</w:t>
            </w:r>
          </w:p>
        </w:tc>
      </w:tr>
      <w:tr w:rsidR="000A41B1" w14:paraId="2E7F7A48" w14:textId="77777777" w:rsidTr="000A41B1">
        <w:tc>
          <w:tcPr>
            <w:tcW w:w="1525" w:type="dxa"/>
          </w:tcPr>
          <w:p w14:paraId="1D7DC2D2" w14:textId="5AAB0279" w:rsidR="000A41B1" w:rsidRDefault="000A41B1" w:rsidP="00650F1B">
            <w:pPr>
              <w:pStyle w:val="Tabletext"/>
            </w:pPr>
            <w:r>
              <w:t>0</w:t>
            </w:r>
          </w:p>
        </w:tc>
        <w:tc>
          <w:tcPr>
            <w:tcW w:w="3600" w:type="dxa"/>
          </w:tcPr>
          <w:p w14:paraId="7CA7C4EE" w14:textId="45EE0618" w:rsidR="000A41B1" w:rsidRDefault="000A41B1" w:rsidP="00650F1B">
            <w:pPr>
              <w:pStyle w:val="Tabletext"/>
            </w:pPr>
            <w:r>
              <w:t>VDES Authentication</w:t>
            </w:r>
            <w:r w:rsidR="005C2408">
              <w:t xml:space="preserve"> Group</w:t>
            </w:r>
          </w:p>
        </w:tc>
        <w:tc>
          <w:tcPr>
            <w:tcW w:w="5070" w:type="dxa"/>
          </w:tcPr>
          <w:p w14:paraId="4B3AEC13" w14:textId="7A0AF6A0" w:rsidR="000A41B1" w:rsidRDefault="000A41B1" w:rsidP="00650F1B">
            <w:pPr>
              <w:pStyle w:val="Tabletext"/>
            </w:pPr>
            <w:r>
              <w:t>IALA G1192</w:t>
            </w:r>
          </w:p>
        </w:tc>
      </w:tr>
      <w:tr w:rsidR="000A41B1" w14:paraId="5F709882" w14:textId="77777777" w:rsidTr="000A41B1">
        <w:tc>
          <w:tcPr>
            <w:tcW w:w="1525" w:type="dxa"/>
          </w:tcPr>
          <w:p w14:paraId="6B82ECC7" w14:textId="4513BDEB" w:rsidR="000A41B1" w:rsidRDefault="000A41B1" w:rsidP="00650F1B">
            <w:pPr>
              <w:pStyle w:val="Tabletext"/>
            </w:pPr>
            <w:r>
              <w:t>1</w:t>
            </w:r>
          </w:p>
        </w:tc>
        <w:tc>
          <w:tcPr>
            <w:tcW w:w="3600" w:type="dxa"/>
          </w:tcPr>
          <w:p w14:paraId="18C27938" w14:textId="33DE3F41" w:rsidR="000A41B1" w:rsidRDefault="004F4AE5" w:rsidP="00650F1B">
            <w:pPr>
              <w:pStyle w:val="Tabletext"/>
            </w:pPr>
            <w:r>
              <w:t>VDE Satellite Orbit Data</w:t>
            </w:r>
          </w:p>
        </w:tc>
        <w:tc>
          <w:tcPr>
            <w:tcW w:w="5070" w:type="dxa"/>
          </w:tcPr>
          <w:p w14:paraId="77B1149C" w14:textId="4BB68675" w:rsidR="000A41B1" w:rsidRDefault="004F4AE5" w:rsidP="00650F1B">
            <w:pPr>
              <w:pStyle w:val="Tabletext"/>
            </w:pPr>
            <w:commentRangeStart w:id="18"/>
            <w:r>
              <w:t>IALA [new Guideline on V</w:t>
            </w:r>
            <w:r w:rsidR="00F57840">
              <w:t>DE Application Messages</w:t>
            </w:r>
            <w:r>
              <w:t>]</w:t>
            </w:r>
            <w:commentRangeEnd w:id="18"/>
            <w:r w:rsidR="00A25D54">
              <w:rPr>
                <w:rStyle w:val="CommentReference"/>
                <w:color w:val="auto"/>
              </w:rPr>
              <w:commentReference w:id="18"/>
            </w:r>
          </w:p>
        </w:tc>
      </w:tr>
      <w:tr w:rsidR="000A41B1" w14:paraId="57C948A2" w14:textId="77777777" w:rsidTr="000A41B1">
        <w:tc>
          <w:tcPr>
            <w:tcW w:w="1525" w:type="dxa"/>
          </w:tcPr>
          <w:p w14:paraId="7D97AC62" w14:textId="050F2AFF" w:rsidR="000A41B1" w:rsidRDefault="000A41B1" w:rsidP="00650F1B">
            <w:pPr>
              <w:pStyle w:val="Tabletext"/>
            </w:pPr>
            <w:r>
              <w:t>2</w:t>
            </w:r>
          </w:p>
        </w:tc>
        <w:tc>
          <w:tcPr>
            <w:tcW w:w="3600" w:type="dxa"/>
          </w:tcPr>
          <w:p w14:paraId="23F639B1" w14:textId="412696CB" w:rsidR="000A41B1" w:rsidRDefault="004F4AE5" w:rsidP="004F4AE5">
            <w:pPr>
              <w:pStyle w:val="Tableinsetlist"/>
              <w:numPr>
                <w:ilvl w:val="0"/>
                <w:numId w:val="0"/>
              </w:numPr>
              <w:ind w:left="397" w:hanging="284"/>
            </w:pPr>
            <w:r>
              <w:t>VDE Text Message</w:t>
            </w:r>
          </w:p>
        </w:tc>
        <w:tc>
          <w:tcPr>
            <w:tcW w:w="5070" w:type="dxa"/>
          </w:tcPr>
          <w:p w14:paraId="380FF8D1" w14:textId="279E02D7" w:rsidR="000A41B1" w:rsidRDefault="00F57840" w:rsidP="00650F1B">
            <w:pPr>
              <w:pStyle w:val="Tabletext"/>
            </w:pPr>
            <w:r>
              <w:t>IALA [new Guideline on VDE Application Messages]</w:t>
            </w:r>
          </w:p>
        </w:tc>
      </w:tr>
      <w:tr w:rsidR="004F4AE5" w14:paraId="270928E4" w14:textId="77777777" w:rsidTr="000A41B1">
        <w:tc>
          <w:tcPr>
            <w:tcW w:w="1525" w:type="dxa"/>
          </w:tcPr>
          <w:p w14:paraId="3757C88F" w14:textId="2997D311" w:rsidR="004F4AE5" w:rsidRDefault="004F4AE5" w:rsidP="00650F1B">
            <w:pPr>
              <w:pStyle w:val="Tabletext"/>
            </w:pPr>
            <w:r>
              <w:t>3</w:t>
            </w:r>
          </w:p>
        </w:tc>
        <w:tc>
          <w:tcPr>
            <w:tcW w:w="3600" w:type="dxa"/>
          </w:tcPr>
          <w:p w14:paraId="3DB5E06E" w14:textId="0F54BDF7" w:rsidR="004F4AE5" w:rsidRDefault="004F4AE5" w:rsidP="004F4AE5">
            <w:pPr>
              <w:pStyle w:val="Tableinsetlist"/>
              <w:numPr>
                <w:ilvl w:val="0"/>
                <w:numId w:val="0"/>
              </w:numPr>
              <w:ind w:left="397" w:hanging="284"/>
            </w:pPr>
            <w:r>
              <w:t xml:space="preserve">VDE </w:t>
            </w:r>
            <w:proofErr w:type="spellStart"/>
            <w:r>
              <w:t>AtoN</w:t>
            </w:r>
            <w:proofErr w:type="spellEnd"/>
            <w:r>
              <w:t xml:space="preserve"> Message with legacy support</w:t>
            </w:r>
          </w:p>
        </w:tc>
        <w:tc>
          <w:tcPr>
            <w:tcW w:w="5070" w:type="dxa"/>
          </w:tcPr>
          <w:p w14:paraId="056FA492" w14:textId="38C0ED67" w:rsidR="004F4AE5" w:rsidRDefault="004F4AE5" w:rsidP="004F4AE5">
            <w:pPr>
              <w:pStyle w:val="Tabletext"/>
            </w:pPr>
            <w:r>
              <w:t>IEC 63514 CD</w:t>
            </w:r>
          </w:p>
        </w:tc>
      </w:tr>
      <w:tr w:rsidR="004F4AE5" w14:paraId="49CF727A" w14:textId="77777777" w:rsidTr="000A41B1">
        <w:tc>
          <w:tcPr>
            <w:tcW w:w="1525" w:type="dxa"/>
          </w:tcPr>
          <w:p w14:paraId="479E78D9" w14:textId="6ECD784F" w:rsidR="004F4AE5" w:rsidRDefault="004F4AE5" w:rsidP="00650F1B">
            <w:pPr>
              <w:pStyle w:val="Tabletext"/>
            </w:pPr>
            <w:r>
              <w:t>4</w:t>
            </w:r>
          </w:p>
        </w:tc>
        <w:tc>
          <w:tcPr>
            <w:tcW w:w="3600" w:type="dxa"/>
          </w:tcPr>
          <w:p w14:paraId="258EE896" w14:textId="15C2A54F" w:rsidR="004F4AE5" w:rsidRDefault="004F4AE5" w:rsidP="004F4AE5">
            <w:pPr>
              <w:pStyle w:val="Tableinsetlist"/>
              <w:numPr>
                <w:ilvl w:val="0"/>
                <w:numId w:val="0"/>
              </w:numPr>
              <w:ind w:left="397" w:hanging="284"/>
            </w:pPr>
            <w:r>
              <w:t>VDE Application ACK</w:t>
            </w:r>
          </w:p>
        </w:tc>
        <w:tc>
          <w:tcPr>
            <w:tcW w:w="5070" w:type="dxa"/>
          </w:tcPr>
          <w:p w14:paraId="767D8E77" w14:textId="434435AA" w:rsidR="004F4AE5" w:rsidRDefault="00F57840" w:rsidP="00650F1B">
            <w:pPr>
              <w:pStyle w:val="Tabletext"/>
            </w:pPr>
            <w:commentRangeStart w:id="19"/>
            <w:r>
              <w:t>IALA [new Guideline on VDE Application Messages]</w:t>
            </w:r>
            <w:commentRangeEnd w:id="19"/>
            <w:r w:rsidR="00A25D54">
              <w:rPr>
                <w:rStyle w:val="CommentReference"/>
                <w:color w:val="auto"/>
              </w:rPr>
              <w:commentReference w:id="19"/>
            </w:r>
          </w:p>
        </w:tc>
      </w:tr>
      <w:tr w:rsidR="004A57C9" w14:paraId="484E93F6" w14:textId="77777777" w:rsidTr="000A41B1">
        <w:tc>
          <w:tcPr>
            <w:tcW w:w="1525" w:type="dxa"/>
          </w:tcPr>
          <w:p w14:paraId="1D7CC48D" w14:textId="686344AA" w:rsidR="004A57C9" w:rsidRDefault="004A57C9" w:rsidP="00650F1B">
            <w:pPr>
              <w:pStyle w:val="Tabletext"/>
            </w:pPr>
            <w:r>
              <w:t>5</w:t>
            </w:r>
          </w:p>
        </w:tc>
        <w:tc>
          <w:tcPr>
            <w:tcW w:w="3600" w:type="dxa"/>
          </w:tcPr>
          <w:p w14:paraId="568D246C" w14:textId="30B8004D" w:rsidR="004A57C9" w:rsidRDefault="004A57C9" w:rsidP="004F4AE5">
            <w:pPr>
              <w:pStyle w:val="Tableinsetlist"/>
              <w:numPr>
                <w:ilvl w:val="0"/>
                <w:numId w:val="0"/>
              </w:numPr>
              <w:ind w:left="397" w:hanging="284"/>
            </w:pPr>
            <w:r>
              <w:t>VDE ASM Container</w:t>
            </w:r>
          </w:p>
        </w:tc>
        <w:tc>
          <w:tcPr>
            <w:tcW w:w="5070" w:type="dxa"/>
          </w:tcPr>
          <w:p w14:paraId="7FBB1CD8" w14:textId="684ED88E" w:rsidR="00842D67" w:rsidRDefault="00842D67" w:rsidP="00842D67">
            <w:pPr>
              <w:pStyle w:val="Tabletext"/>
            </w:pPr>
            <w:r>
              <w:t>IALA [new Guideline on VDE Application Messages]</w:t>
            </w:r>
          </w:p>
        </w:tc>
      </w:tr>
      <w:tr w:rsidR="00842D67" w14:paraId="6840D0CB" w14:textId="77777777" w:rsidTr="000A41B1">
        <w:tc>
          <w:tcPr>
            <w:tcW w:w="1525" w:type="dxa"/>
          </w:tcPr>
          <w:p w14:paraId="21CA8AF8" w14:textId="45699759" w:rsidR="00842D67" w:rsidRDefault="00842D67" w:rsidP="00650F1B">
            <w:pPr>
              <w:pStyle w:val="Tabletext"/>
            </w:pPr>
            <w:r>
              <w:t>6</w:t>
            </w:r>
          </w:p>
        </w:tc>
        <w:tc>
          <w:tcPr>
            <w:tcW w:w="3600" w:type="dxa"/>
          </w:tcPr>
          <w:p w14:paraId="724216B8" w14:textId="545C5696" w:rsidR="00842D67" w:rsidRDefault="00842D67" w:rsidP="004F4AE5">
            <w:pPr>
              <w:pStyle w:val="Tableinsetlist"/>
              <w:numPr>
                <w:ilvl w:val="0"/>
                <w:numId w:val="0"/>
              </w:numPr>
              <w:ind w:left="397" w:hanging="284"/>
            </w:pPr>
            <w:r>
              <w:t>AIS Position Report Retransmit</w:t>
            </w:r>
          </w:p>
        </w:tc>
        <w:tc>
          <w:tcPr>
            <w:tcW w:w="5070" w:type="dxa"/>
          </w:tcPr>
          <w:p w14:paraId="6C6E8DBF" w14:textId="3270DA15" w:rsidR="00842D67" w:rsidRDefault="00A25D54" w:rsidP="00842D67">
            <w:pPr>
              <w:pStyle w:val="Tabletext"/>
            </w:pPr>
            <w:commentRangeStart w:id="20"/>
            <w:r>
              <w:t>IALA [new Guideline on VDE Application Messages]</w:t>
            </w:r>
            <w:commentRangeEnd w:id="20"/>
            <w:r>
              <w:rPr>
                <w:rStyle w:val="CommentReference"/>
                <w:color w:val="auto"/>
              </w:rPr>
              <w:commentReference w:id="20"/>
            </w:r>
          </w:p>
        </w:tc>
      </w:tr>
      <w:tr w:rsidR="00A25D54" w14:paraId="4B6204A3" w14:textId="77777777" w:rsidTr="000A41B1">
        <w:tc>
          <w:tcPr>
            <w:tcW w:w="1525" w:type="dxa"/>
          </w:tcPr>
          <w:p w14:paraId="507299DA" w14:textId="22AB4399" w:rsidR="00A25D54" w:rsidRDefault="00A25D54" w:rsidP="00650F1B">
            <w:pPr>
              <w:pStyle w:val="Tabletext"/>
            </w:pPr>
            <w:r>
              <w:t>7</w:t>
            </w:r>
          </w:p>
        </w:tc>
        <w:tc>
          <w:tcPr>
            <w:tcW w:w="3600" w:type="dxa"/>
          </w:tcPr>
          <w:p w14:paraId="57852952" w14:textId="79803641" w:rsidR="00A25D54" w:rsidRDefault="006572F1" w:rsidP="004F4AE5">
            <w:pPr>
              <w:pStyle w:val="Tableinsetlist"/>
              <w:numPr>
                <w:ilvl w:val="0"/>
                <w:numId w:val="0"/>
              </w:numPr>
              <w:ind w:left="397" w:hanging="284"/>
            </w:pPr>
            <w:r>
              <w:t>Maritime Messaging Service</w:t>
            </w:r>
          </w:p>
        </w:tc>
        <w:tc>
          <w:tcPr>
            <w:tcW w:w="5070" w:type="dxa"/>
          </w:tcPr>
          <w:p w14:paraId="2A8F028F" w14:textId="7D9E91B9" w:rsidR="00A25D54" w:rsidRDefault="006572F1" w:rsidP="00842D67">
            <w:pPr>
              <w:pStyle w:val="Tabletext"/>
            </w:pPr>
            <w:commentRangeStart w:id="21"/>
            <w:r>
              <w:t>RTCM 13900.0 Maritime Messaging Service Architecture and Protocol.</w:t>
            </w:r>
            <w:commentRangeEnd w:id="21"/>
            <w:r w:rsidR="005C2408">
              <w:rPr>
                <w:rStyle w:val="CommentReference"/>
                <w:color w:val="auto"/>
              </w:rPr>
              <w:commentReference w:id="21"/>
            </w:r>
          </w:p>
        </w:tc>
      </w:tr>
      <w:tr w:rsidR="005C2408" w14:paraId="6F53882C" w14:textId="77777777" w:rsidTr="000A41B1">
        <w:tc>
          <w:tcPr>
            <w:tcW w:w="1525" w:type="dxa"/>
          </w:tcPr>
          <w:p w14:paraId="34C12E08" w14:textId="2DCF82DB" w:rsidR="005C2408" w:rsidRDefault="005C2408" w:rsidP="00650F1B">
            <w:pPr>
              <w:pStyle w:val="Tabletext"/>
            </w:pPr>
            <w:r>
              <w:t>8..127</w:t>
            </w:r>
          </w:p>
        </w:tc>
        <w:tc>
          <w:tcPr>
            <w:tcW w:w="3600" w:type="dxa"/>
          </w:tcPr>
          <w:p w14:paraId="720FB4CE" w14:textId="779E1961" w:rsidR="005C2408" w:rsidRDefault="005C2408" w:rsidP="004F4AE5">
            <w:pPr>
              <w:pStyle w:val="Tableinsetlist"/>
              <w:numPr>
                <w:ilvl w:val="0"/>
                <w:numId w:val="0"/>
              </w:numPr>
              <w:ind w:left="397" w:hanging="284"/>
            </w:pPr>
            <w:r>
              <w:t>(free for assignment of very high traffic applications)</w:t>
            </w:r>
          </w:p>
        </w:tc>
        <w:tc>
          <w:tcPr>
            <w:tcW w:w="5070" w:type="dxa"/>
          </w:tcPr>
          <w:p w14:paraId="5F98431D" w14:textId="77777777" w:rsidR="005C2408" w:rsidRDefault="005C2408" w:rsidP="00842D67">
            <w:pPr>
              <w:pStyle w:val="Tabletext"/>
            </w:pPr>
          </w:p>
        </w:tc>
      </w:tr>
      <w:tr w:rsidR="005C2408" w14:paraId="5450E356" w14:textId="77777777" w:rsidTr="000A41B1">
        <w:tc>
          <w:tcPr>
            <w:tcW w:w="1525" w:type="dxa"/>
          </w:tcPr>
          <w:p w14:paraId="0FF583B7" w14:textId="44783622" w:rsidR="005C2408" w:rsidRDefault="005C2408" w:rsidP="00650F1B">
            <w:pPr>
              <w:pStyle w:val="Tabletext"/>
            </w:pPr>
            <w:r>
              <w:t>128-255</w:t>
            </w:r>
          </w:p>
        </w:tc>
        <w:tc>
          <w:tcPr>
            <w:tcW w:w="3600" w:type="dxa"/>
          </w:tcPr>
          <w:p w14:paraId="58CABFCC" w14:textId="3C6E36E4" w:rsidR="005C2408" w:rsidRDefault="004C77DC" w:rsidP="004F4AE5">
            <w:pPr>
              <w:pStyle w:val="Tableinsetlist"/>
              <w:numPr>
                <w:ilvl w:val="0"/>
                <w:numId w:val="0"/>
              </w:numPr>
              <w:ind w:left="397" w:hanging="284"/>
            </w:pPr>
            <w:r>
              <w:t>Dependent on how many bytes follow, see below.</w:t>
            </w:r>
          </w:p>
        </w:tc>
        <w:tc>
          <w:tcPr>
            <w:tcW w:w="5070" w:type="dxa"/>
          </w:tcPr>
          <w:p w14:paraId="752CD76A" w14:textId="12561829" w:rsidR="005C2408" w:rsidRDefault="005C2408" w:rsidP="00842D67">
            <w:pPr>
              <w:pStyle w:val="Tabletext"/>
            </w:pPr>
            <w:r>
              <w:t>See next chapter on “L</w:t>
            </w:r>
            <w:r w:rsidR="004C77DC">
              <w:t>evel 2”.</w:t>
            </w:r>
          </w:p>
        </w:tc>
      </w:tr>
    </w:tbl>
    <w:p w14:paraId="6C69F2C5" w14:textId="77777777" w:rsidR="000A41B1" w:rsidRDefault="000A41B1" w:rsidP="000A41B1">
      <w:pPr>
        <w:pStyle w:val="BodyText"/>
      </w:pPr>
    </w:p>
    <w:p w14:paraId="13593CBE" w14:textId="489A1D91" w:rsidR="000A41B1" w:rsidRPr="000A41B1" w:rsidRDefault="000A41B1" w:rsidP="000A41B1">
      <w:pPr>
        <w:pStyle w:val="BodyText"/>
      </w:pPr>
      <w:r>
        <w:t>It is recommended that the Level 1 is used only for applications that would gain applicability by only having 1 byte of VPFI overhead.</w:t>
      </w:r>
    </w:p>
    <w:p w14:paraId="554145D6" w14:textId="6C284EE0" w:rsidR="00995229" w:rsidRPr="00102F6C" w:rsidRDefault="000A41B1" w:rsidP="00CE2A1E">
      <w:pPr>
        <w:pStyle w:val="Heading3"/>
      </w:pPr>
      <w:bookmarkStart w:id="22" w:name="_Toc209076992"/>
      <w:r>
        <w:t>Level 2</w:t>
      </w:r>
      <w:bookmarkEnd w:id="22"/>
    </w:p>
    <w:p w14:paraId="72296B0D" w14:textId="5C4C5598" w:rsidR="00093A12" w:rsidRDefault="000A41B1" w:rsidP="00093A12">
      <w:pPr>
        <w:spacing w:after="120"/>
        <w:jc w:val="both"/>
        <w:rPr>
          <w:sz w:val="22"/>
        </w:rPr>
      </w:pPr>
      <w:r>
        <w:rPr>
          <w:sz w:val="22"/>
        </w:rPr>
        <w:t>An optional 2</w:t>
      </w:r>
      <w:r w:rsidRPr="000A41B1">
        <w:rPr>
          <w:sz w:val="22"/>
          <w:vertAlign w:val="superscript"/>
        </w:rPr>
        <w:t>nd</w:t>
      </w:r>
      <w:r>
        <w:rPr>
          <w:sz w:val="22"/>
        </w:rPr>
        <w:t xml:space="preserve"> byte identifies:</w:t>
      </w:r>
    </w:p>
    <w:p w14:paraId="2DEA69A6" w14:textId="5DF9F903" w:rsidR="000A41B1" w:rsidRDefault="000A41B1" w:rsidP="000A41B1">
      <w:pPr>
        <w:pStyle w:val="ListParagraph"/>
        <w:numPr>
          <w:ilvl w:val="0"/>
          <w:numId w:val="47"/>
        </w:numPr>
        <w:spacing w:after="120"/>
        <w:jc w:val="both"/>
        <w:rPr>
          <w:sz w:val="22"/>
        </w:rPr>
      </w:pPr>
      <w:r>
        <w:rPr>
          <w:sz w:val="22"/>
        </w:rPr>
        <w:t>If there follows another byte to extend the VPFI range, and</w:t>
      </w:r>
    </w:p>
    <w:p w14:paraId="11B30004" w14:textId="7C1E1195" w:rsidR="000A41B1" w:rsidRDefault="000A41B1" w:rsidP="000A41B1">
      <w:pPr>
        <w:pStyle w:val="ListParagraph"/>
        <w:numPr>
          <w:ilvl w:val="0"/>
          <w:numId w:val="47"/>
        </w:numPr>
        <w:spacing w:after="120"/>
        <w:jc w:val="both"/>
        <w:rPr>
          <w:sz w:val="22"/>
        </w:rPr>
      </w:pPr>
      <w:r>
        <w:rPr>
          <w:sz w:val="22"/>
        </w:rPr>
        <w:t>The 7 least significant bits of the application identifier, that with the 7 bits of the first byte give space for 2</w:t>
      </w:r>
      <w:r>
        <w:rPr>
          <w:sz w:val="22"/>
          <w:vertAlign w:val="superscript"/>
        </w:rPr>
        <w:t>14</w:t>
      </w:r>
      <w:r>
        <w:rPr>
          <w:sz w:val="22"/>
        </w:rPr>
        <w:t>-1 = 16 383 protocol identifiers.</w:t>
      </w:r>
    </w:p>
    <w:p w14:paraId="48553685" w14:textId="6F2D2B2F" w:rsidR="000A33E1" w:rsidRDefault="000A33E1" w:rsidP="000A33E1">
      <w:pPr>
        <w:pStyle w:val="Tablecaption"/>
        <w:numPr>
          <w:ilvl w:val="0"/>
          <w:numId w:val="47"/>
        </w:numPr>
      </w:pPr>
      <w:r>
        <w:t xml:space="preserve">Level </w:t>
      </w:r>
      <w:r>
        <w:t>2</w:t>
      </w:r>
      <w:r>
        <w:t xml:space="preserve"> VPFI allocations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1088"/>
        <w:gridCol w:w="4188"/>
        <w:gridCol w:w="3754"/>
      </w:tblGrid>
      <w:tr w:rsidR="000A33E1" w14:paraId="48ED5799" w14:textId="77777777" w:rsidTr="000A33E1">
        <w:tc>
          <w:tcPr>
            <w:tcW w:w="1165" w:type="dxa"/>
          </w:tcPr>
          <w:p w14:paraId="081976DE" w14:textId="77777777" w:rsidR="000A33E1" w:rsidRDefault="000A33E1" w:rsidP="000A33E1">
            <w:pPr>
              <w:pStyle w:val="Tableheading"/>
            </w:pPr>
            <w:r>
              <w:t>VPFI Byte 1 content</w:t>
            </w:r>
          </w:p>
        </w:tc>
        <w:tc>
          <w:tcPr>
            <w:tcW w:w="1088" w:type="dxa"/>
          </w:tcPr>
          <w:p w14:paraId="07709AA6" w14:textId="5A940EEB" w:rsidR="000A33E1" w:rsidRDefault="000A33E1" w:rsidP="000A33E1">
            <w:pPr>
              <w:pStyle w:val="Tableheading"/>
            </w:pPr>
            <w:r>
              <w:t>VPFI Byte 2 content</w:t>
            </w:r>
          </w:p>
        </w:tc>
        <w:tc>
          <w:tcPr>
            <w:tcW w:w="4188" w:type="dxa"/>
          </w:tcPr>
          <w:p w14:paraId="53F1E15D" w14:textId="5F8EE192" w:rsidR="000A33E1" w:rsidRDefault="000A33E1" w:rsidP="000A33E1">
            <w:pPr>
              <w:pStyle w:val="Tableheading"/>
            </w:pPr>
            <w:r>
              <w:t>Application Name</w:t>
            </w:r>
          </w:p>
        </w:tc>
        <w:tc>
          <w:tcPr>
            <w:tcW w:w="3754" w:type="dxa"/>
          </w:tcPr>
          <w:p w14:paraId="015F87E7" w14:textId="77777777" w:rsidR="000A33E1" w:rsidRDefault="000A33E1" w:rsidP="000A33E1">
            <w:pPr>
              <w:pStyle w:val="Tableheading"/>
            </w:pPr>
            <w:r>
              <w:t>Reference</w:t>
            </w:r>
          </w:p>
        </w:tc>
      </w:tr>
      <w:tr w:rsidR="000A33E1" w14:paraId="6A290EDB" w14:textId="77777777" w:rsidTr="000A33E1">
        <w:tc>
          <w:tcPr>
            <w:tcW w:w="1165" w:type="dxa"/>
          </w:tcPr>
          <w:p w14:paraId="4776F0A3" w14:textId="367971F8" w:rsidR="000A33E1" w:rsidRDefault="000A33E1" w:rsidP="000A33E1">
            <w:pPr>
              <w:pStyle w:val="Tabletext"/>
              <w:ind w:left="0"/>
              <w:jc w:val="center"/>
            </w:pPr>
            <w:r>
              <w:t>128</w:t>
            </w:r>
          </w:p>
        </w:tc>
        <w:tc>
          <w:tcPr>
            <w:tcW w:w="1088" w:type="dxa"/>
          </w:tcPr>
          <w:p w14:paraId="02893D4C" w14:textId="23E690D6" w:rsidR="000A33E1" w:rsidRDefault="000A33E1" w:rsidP="000A33E1">
            <w:pPr>
              <w:pStyle w:val="Tableinsetlist"/>
              <w:numPr>
                <w:ilvl w:val="0"/>
                <w:numId w:val="0"/>
              </w:numPr>
              <w:jc w:val="center"/>
            </w:pPr>
            <w:r>
              <w:t>0</w:t>
            </w:r>
          </w:p>
        </w:tc>
        <w:tc>
          <w:tcPr>
            <w:tcW w:w="4188" w:type="dxa"/>
          </w:tcPr>
          <w:p w14:paraId="38FA84C4" w14:textId="3E25686C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&lt;application 1 of Level 2&gt;</w:t>
            </w:r>
          </w:p>
        </w:tc>
        <w:tc>
          <w:tcPr>
            <w:tcW w:w="3754" w:type="dxa"/>
          </w:tcPr>
          <w:p w14:paraId="7DC42E16" w14:textId="7106E34A" w:rsidR="000A33E1" w:rsidRDefault="000A33E1" w:rsidP="000A33E1">
            <w:pPr>
              <w:pStyle w:val="Tabletext"/>
              <w:jc w:val="center"/>
            </w:pPr>
          </w:p>
        </w:tc>
      </w:tr>
      <w:tr w:rsidR="000A33E1" w14:paraId="69074F89" w14:textId="77777777" w:rsidTr="000A33E1">
        <w:tc>
          <w:tcPr>
            <w:tcW w:w="1165" w:type="dxa"/>
          </w:tcPr>
          <w:p w14:paraId="241140BD" w14:textId="2CE03141" w:rsidR="000A33E1" w:rsidRDefault="000A33E1" w:rsidP="000A33E1">
            <w:pPr>
              <w:pStyle w:val="Tabletext"/>
              <w:ind w:left="0"/>
              <w:jc w:val="center"/>
            </w:pPr>
            <w:r>
              <w:t>128</w:t>
            </w:r>
          </w:p>
        </w:tc>
        <w:tc>
          <w:tcPr>
            <w:tcW w:w="1088" w:type="dxa"/>
          </w:tcPr>
          <w:p w14:paraId="44ED62AF" w14:textId="277A58DA" w:rsidR="000A33E1" w:rsidRDefault="000A33E1" w:rsidP="000A33E1">
            <w:pPr>
              <w:pStyle w:val="Tableinsetlist"/>
              <w:numPr>
                <w:ilvl w:val="0"/>
                <w:numId w:val="0"/>
              </w:numPr>
              <w:jc w:val="center"/>
            </w:pPr>
            <w:r>
              <w:t>1</w:t>
            </w:r>
          </w:p>
        </w:tc>
        <w:tc>
          <w:tcPr>
            <w:tcW w:w="4188" w:type="dxa"/>
          </w:tcPr>
          <w:p w14:paraId="61EFAD1D" w14:textId="66B4DC90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&lt;application</w:t>
            </w:r>
            <w:r>
              <w:t xml:space="preserve"> 2 of Level 2</w:t>
            </w:r>
            <w:r>
              <w:t>&gt;</w:t>
            </w:r>
          </w:p>
        </w:tc>
        <w:tc>
          <w:tcPr>
            <w:tcW w:w="3754" w:type="dxa"/>
          </w:tcPr>
          <w:p w14:paraId="42D10DB2" w14:textId="77777777" w:rsidR="000A33E1" w:rsidRDefault="000A33E1" w:rsidP="000A33E1">
            <w:pPr>
              <w:pStyle w:val="Tabletext"/>
              <w:jc w:val="center"/>
            </w:pPr>
          </w:p>
        </w:tc>
      </w:tr>
      <w:tr w:rsidR="000A33E1" w14:paraId="16935F95" w14:textId="77777777" w:rsidTr="000A33E1">
        <w:tc>
          <w:tcPr>
            <w:tcW w:w="1165" w:type="dxa"/>
          </w:tcPr>
          <w:p w14:paraId="3177B244" w14:textId="40506942" w:rsidR="000A33E1" w:rsidRDefault="000A33E1" w:rsidP="000A33E1">
            <w:pPr>
              <w:pStyle w:val="Tabletext"/>
              <w:jc w:val="center"/>
            </w:pPr>
            <w:r>
              <w:t>…</w:t>
            </w:r>
          </w:p>
        </w:tc>
        <w:tc>
          <w:tcPr>
            <w:tcW w:w="1088" w:type="dxa"/>
          </w:tcPr>
          <w:p w14:paraId="57FE9A3E" w14:textId="1FE48478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…</w:t>
            </w:r>
          </w:p>
        </w:tc>
        <w:tc>
          <w:tcPr>
            <w:tcW w:w="4188" w:type="dxa"/>
          </w:tcPr>
          <w:p w14:paraId="5D702E90" w14:textId="091A5495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…</w:t>
            </w:r>
          </w:p>
        </w:tc>
        <w:tc>
          <w:tcPr>
            <w:tcW w:w="3754" w:type="dxa"/>
          </w:tcPr>
          <w:p w14:paraId="33B735B0" w14:textId="77777777" w:rsidR="000A33E1" w:rsidRDefault="000A33E1" w:rsidP="000A33E1">
            <w:pPr>
              <w:pStyle w:val="Tabletext"/>
              <w:jc w:val="center"/>
            </w:pPr>
          </w:p>
        </w:tc>
      </w:tr>
      <w:tr w:rsidR="000A33E1" w14:paraId="78DBF308" w14:textId="77777777" w:rsidTr="000A33E1">
        <w:tc>
          <w:tcPr>
            <w:tcW w:w="1165" w:type="dxa"/>
          </w:tcPr>
          <w:p w14:paraId="2840994C" w14:textId="4A75C2DF" w:rsidR="000A33E1" w:rsidRDefault="000A33E1" w:rsidP="000A33E1">
            <w:pPr>
              <w:pStyle w:val="Tabletext"/>
              <w:ind w:left="0"/>
              <w:jc w:val="center"/>
            </w:pPr>
            <w:r>
              <w:t>128</w:t>
            </w:r>
          </w:p>
        </w:tc>
        <w:tc>
          <w:tcPr>
            <w:tcW w:w="1088" w:type="dxa"/>
          </w:tcPr>
          <w:p w14:paraId="5145C1E3" w14:textId="0F30E2A7" w:rsidR="000A33E1" w:rsidRDefault="000A33E1" w:rsidP="000A33E1">
            <w:pPr>
              <w:pStyle w:val="Tableinsetlist"/>
              <w:numPr>
                <w:ilvl w:val="0"/>
                <w:numId w:val="0"/>
              </w:numPr>
              <w:jc w:val="center"/>
            </w:pPr>
            <w:r>
              <w:t>127</w:t>
            </w:r>
          </w:p>
        </w:tc>
        <w:tc>
          <w:tcPr>
            <w:tcW w:w="4188" w:type="dxa"/>
          </w:tcPr>
          <w:p w14:paraId="7C2C1407" w14:textId="274A3EF4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&lt;application</w:t>
            </w:r>
            <w:r>
              <w:t xml:space="preserve"> 128 of Level 2</w:t>
            </w:r>
            <w:r>
              <w:t>&gt;</w:t>
            </w:r>
          </w:p>
        </w:tc>
        <w:tc>
          <w:tcPr>
            <w:tcW w:w="3754" w:type="dxa"/>
          </w:tcPr>
          <w:p w14:paraId="42094655" w14:textId="77777777" w:rsidR="000A33E1" w:rsidRDefault="000A33E1" w:rsidP="000A33E1">
            <w:pPr>
              <w:pStyle w:val="Tabletext"/>
              <w:jc w:val="center"/>
            </w:pPr>
          </w:p>
        </w:tc>
      </w:tr>
      <w:tr w:rsidR="000A33E1" w14:paraId="32632B32" w14:textId="77777777" w:rsidTr="000A33E1">
        <w:tc>
          <w:tcPr>
            <w:tcW w:w="1165" w:type="dxa"/>
          </w:tcPr>
          <w:p w14:paraId="6D7C3F75" w14:textId="7A198092" w:rsidR="000A33E1" w:rsidRDefault="000A33E1" w:rsidP="000A33E1">
            <w:pPr>
              <w:pStyle w:val="Tabletext"/>
              <w:ind w:left="0"/>
              <w:jc w:val="center"/>
            </w:pPr>
            <w:r>
              <w:lastRenderedPageBreak/>
              <w:t>129</w:t>
            </w:r>
          </w:p>
        </w:tc>
        <w:tc>
          <w:tcPr>
            <w:tcW w:w="1088" w:type="dxa"/>
          </w:tcPr>
          <w:p w14:paraId="529B553A" w14:textId="519D2BE1" w:rsidR="000A33E1" w:rsidRDefault="000A33E1" w:rsidP="000A33E1">
            <w:pPr>
              <w:pStyle w:val="Tableinsetlist"/>
              <w:numPr>
                <w:ilvl w:val="0"/>
                <w:numId w:val="0"/>
              </w:numPr>
              <w:jc w:val="center"/>
            </w:pPr>
            <w:r>
              <w:t>0</w:t>
            </w:r>
          </w:p>
        </w:tc>
        <w:tc>
          <w:tcPr>
            <w:tcW w:w="4188" w:type="dxa"/>
          </w:tcPr>
          <w:p w14:paraId="2C21774D" w14:textId="083EE9FE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&lt;application 12</w:t>
            </w:r>
            <w:r>
              <w:t>9</w:t>
            </w:r>
            <w:r>
              <w:t xml:space="preserve"> of Level 2&gt;</w:t>
            </w:r>
          </w:p>
        </w:tc>
        <w:tc>
          <w:tcPr>
            <w:tcW w:w="3754" w:type="dxa"/>
          </w:tcPr>
          <w:p w14:paraId="1AEA87A9" w14:textId="77777777" w:rsidR="000A33E1" w:rsidRDefault="000A33E1" w:rsidP="000A33E1">
            <w:pPr>
              <w:pStyle w:val="Tabletext"/>
              <w:jc w:val="center"/>
            </w:pPr>
          </w:p>
        </w:tc>
      </w:tr>
      <w:tr w:rsidR="000A33E1" w14:paraId="1CAAC472" w14:textId="77777777" w:rsidTr="000A33E1">
        <w:tc>
          <w:tcPr>
            <w:tcW w:w="1165" w:type="dxa"/>
          </w:tcPr>
          <w:p w14:paraId="311C30F3" w14:textId="788D0CFD" w:rsidR="000A33E1" w:rsidRDefault="000A33E1" w:rsidP="000A33E1">
            <w:pPr>
              <w:pStyle w:val="Tabletext"/>
              <w:ind w:left="0"/>
              <w:jc w:val="center"/>
            </w:pPr>
            <w:r>
              <w:t>12</w:t>
            </w:r>
            <w:r>
              <w:t>9</w:t>
            </w:r>
          </w:p>
        </w:tc>
        <w:tc>
          <w:tcPr>
            <w:tcW w:w="1088" w:type="dxa"/>
          </w:tcPr>
          <w:p w14:paraId="218EB5B1" w14:textId="77777777" w:rsidR="000A33E1" w:rsidRDefault="000A33E1" w:rsidP="000A33E1">
            <w:pPr>
              <w:pStyle w:val="Tableinsetlist"/>
              <w:numPr>
                <w:ilvl w:val="0"/>
                <w:numId w:val="0"/>
              </w:numPr>
              <w:jc w:val="center"/>
            </w:pPr>
            <w:r>
              <w:t>1</w:t>
            </w:r>
          </w:p>
        </w:tc>
        <w:tc>
          <w:tcPr>
            <w:tcW w:w="4188" w:type="dxa"/>
          </w:tcPr>
          <w:p w14:paraId="7ADD11DA" w14:textId="19E627D9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&lt;application</w:t>
            </w:r>
            <w:r>
              <w:t xml:space="preserve"> 256 of Level 2</w:t>
            </w:r>
            <w:r>
              <w:t>&gt;</w:t>
            </w:r>
          </w:p>
        </w:tc>
        <w:tc>
          <w:tcPr>
            <w:tcW w:w="3754" w:type="dxa"/>
          </w:tcPr>
          <w:p w14:paraId="0E02CE23" w14:textId="77777777" w:rsidR="000A33E1" w:rsidRDefault="000A33E1" w:rsidP="000A33E1">
            <w:pPr>
              <w:pStyle w:val="Tabletext"/>
              <w:jc w:val="center"/>
            </w:pPr>
          </w:p>
        </w:tc>
      </w:tr>
      <w:tr w:rsidR="000A33E1" w14:paraId="30D0351F" w14:textId="77777777" w:rsidTr="000A33E1">
        <w:tc>
          <w:tcPr>
            <w:tcW w:w="1165" w:type="dxa"/>
          </w:tcPr>
          <w:p w14:paraId="5E3F17F0" w14:textId="77777777" w:rsidR="000A33E1" w:rsidRDefault="000A33E1" w:rsidP="000A33E1">
            <w:pPr>
              <w:pStyle w:val="Tabletext"/>
              <w:jc w:val="center"/>
            </w:pPr>
            <w:r>
              <w:t>…</w:t>
            </w:r>
          </w:p>
        </w:tc>
        <w:tc>
          <w:tcPr>
            <w:tcW w:w="1088" w:type="dxa"/>
          </w:tcPr>
          <w:p w14:paraId="358639D0" w14:textId="77777777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…</w:t>
            </w:r>
          </w:p>
        </w:tc>
        <w:tc>
          <w:tcPr>
            <w:tcW w:w="4188" w:type="dxa"/>
          </w:tcPr>
          <w:p w14:paraId="7964C26A" w14:textId="0B504088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…</w:t>
            </w:r>
          </w:p>
        </w:tc>
        <w:tc>
          <w:tcPr>
            <w:tcW w:w="3754" w:type="dxa"/>
          </w:tcPr>
          <w:p w14:paraId="29836541" w14:textId="77777777" w:rsidR="000A33E1" w:rsidRDefault="000A33E1" w:rsidP="000A33E1">
            <w:pPr>
              <w:pStyle w:val="Tabletext"/>
              <w:jc w:val="center"/>
            </w:pPr>
          </w:p>
        </w:tc>
      </w:tr>
      <w:tr w:rsidR="000A33E1" w14:paraId="3F2CCA89" w14:textId="77777777" w:rsidTr="000A33E1">
        <w:tc>
          <w:tcPr>
            <w:tcW w:w="1165" w:type="dxa"/>
          </w:tcPr>
          <w:p w14:paraId="3E92BD2E" w14:textId="1B0556E8" w:rsidR="000A33E1" w:rsidRDefault="000A33E1" w:rsidP="000A33E1">
            <w:pPr>
              <w:pStyle w:val="Tabletext"/>
              <w:ind w:left="0"/>
              <w:jc w:val="center"/>
            </w:pPr>
            <w:r>
              <w:t>12</w:t>
            </w:r>
            <w:r>
              <w:t>9</w:t>
            </w:r>
          </w:p>
        </w:tc>
        <w:tc>
          <w:tcPr>
            <w:tcW w:w="1088" w:type="dxa"/>
          </w:tcPr>
          <w:p w14:paraId="1E705C2A" w14:textId="77777777" w:rsidR="000A33E1" w:rsidRDefault="000A33E1" w:rsidP="000A33E1">
            <w:pPr>
              <w:pStyle w:val="Tableinsetlist"/>
              <w:numPr>
                <w:ilvl w:val="0"/>
                <w:numId w:val="0"/>
              </w:numPr>
              <w:jc w:val="center"/>
            </w:pPr>
            <w:r>
              <w:t>127</w:t>
            </w:r>
          </w:p>
        </w:tc>
        <w:tc>
          <w:tcPr>
            <w:tcW w:w="4188" w:type="dxa"/>
          </w:tcPr>
          <w:p w14:paraId="578C718D" w14:textId="2437324C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&lt;application</w:t>
            </w:r>
            <w:r>
              <w:t xml:space="preserve"> 384 of Level 2</w:t>
            </w:r>
            <w:r>
              <w:t>&gt;</w:t>
            </w:r>
          </w:p>
        </w:tc>
        <w:tc>
          <w:tcPr>
            <w:tcW w:w="3754" w:type="dxa"/>
          </w:tcPr>
          <w:p w14:paraId="41ED1433" w14:textId="77777777" w:rsidR="000A33E1" w:rsidRDefault="000A33E1" w:rsidP="000A33E1">
            <w:pPr>
              <w:pStyle w:val="Tabletext"/>
              <w:jc w:val="center"/>
            </w:pPr>
          </w:p>
        </w:tc>
      </w:tr>
      <w:tr w:rsidR="000A33E1" w14:paraId="08ED293E" w14:textId="77777777" w:rsidTr="000A33E1">
        <w:tc>
          <w:tcPr>
            <w:tcW w:w="1165" w:type="dxa"/>
          </w:tcPr>
          <w:p w14:paraId="7D4CA85F" w14:textId="41221297" w:rsidR="000A33E1" w:rsidRDefault="000A33E1" w:rsidP="000A33E1">
            <w:pPr>
              <w:pStyle w:val="Tabletext"/>
              <w:ind w:left="0"/>
              <w:jc w:val="center"/>
            </w:pPr>
            <w:r>
              <w:t>…</w:t>
            </w:r>
          </w:p>
        </w:tc>
        <w:tc>
          <w:tcPr>
            <w:tcW w:w="1088" w:type="dxa"/>
          </w:tcPr>
          <w:p w14:paraId="00E439DB" w14:textId="5804C856" w:rsidR="000A33E1" w:rsidRDefault="000A33E1" w:rsidP="000A33E1">
            <w:pPr>
              <w:pStyle w:val="Tableinsetlist"/>
              <w:numPr>
                <w:ilvl w:val="0"/>
                <w:numId w:val="0"/>
              </w:numPr>
              <w:jc w:val="center"/>
            </w:pPr>
            <w:r>
              <w:t>…</w:t>
            </w:r>
          </w:p>
        </w:tc>
        <w:tc>
          <w:tcPr>
            <w:tcW w:w="4188" w:type="dxa"/>
          </w:tcPr>
          <w:p w14:paraId="4E8C24E7" w14:textId="77777777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</w:p>
        </w:tc>
        <w:tc>
          <w:tcPr>
            <w:tcW w:w="3754" w:type="dxa"/>
          </w:tcPr>
          <w:p w14:paraId="7170A169" w14:textId="77777777" w:rsidR="000A33E1" w:rsidRDefault="000A33E1" w:rsidP="000A33E1">
            <w:pPr>
              <w:pStyle w:val="Tabletext"/>
              <w:jc w:val="center"/>
            </w:pPr>
          </w:p>
        </w:tc>
      </w:tr>
      <w:tr w:rsidR="000A33E1" w14:paraId="052598AC" w14:textId="77777777" w:rsidTr="000A33E1">
        <w:tc>
          <w:tcPr>
            <w:tcW w:w="1165" w:type="dxa"/>
          </w:tcPr>
          <w:p w14:paraId="7064B45E" w14:textId="6FCF5EA9" w:rsidR="000A33E1" w:rsidRDefault="000A33E1" w:rsidP="000A33E1">
            <w:pPr>
              <w:pStyle w:val="Tabletext"/>
              <w:ind w:left="0"/>
              <w:jc w:val="center"/>
            </w:pPr>
            <w:r>
              <w:t>255</w:t>
            </w:r>
          </w:p>
        </w:tc>
        <w:tc>
          <w:tcPr>
            <w:tcW w:w="1088" w:type="dxa"/>
          </w:tcPr>
          <w:p w14:paraId="626877E0" w14:textId="02FFBFCC" w:rsidR="000A33E1" w:rsidRDefault="000A33E1" w:rsidP="000A33E1">
            <w:pPr>
              <w:pStyle w:val="Tableinsetlist"/>
              <w:numPr>
                <w:ilvl w:val="0"/>
                <w:numId w:val="0"/>
              </w:numPr>
              <w:jc w:val="center"/>
            </w:pPr>
            <w:r>
              <w:t>127</w:t>
            </w:r>
          </w:p>
        </w:tc>
        <w:tc>
          <w:tcPr>
            <w:tcW w:w="4188" w:type="dxa"/>
          </w:tcPr>
          <w:p w14:paraId="5CCBC4A2" w14:textId="42F64648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&lt;application 16,384 of Level 2&gt;</w:t>
            </w:r>
          </w:p>
        </w:tc>
        <w:tc>
          <w:tcPr>
            <w:tcW w:w="3754" w:type="dxa"/>
          </w:tcPr>
          <w:p w14:paraId="10436926" w14:textId="77777777" w:rsidR="000A33E1" w:rsidRDefault="000A33E1" w:rsidP="000A33E1">
            <w:pPr>
              <w:pStyle w:val="Tabletext"/>
              <w:jc w:val="center"/>
            </w:pPr>
          </w:p>
        </w:tc>
      </w:tr>
      <w:tr w:rsidR="000A33E1" w14:paraId="158F0B3F" w14:textId="77777777" w:rsidTr="000A33E1">
        <w:tc>
          <w:tcPr>
            <w:tcW w:w="1165" w:type="dxa"/>
          </w:tcPr>
          <w:p w14:paraId="456AD858" w14:textId="538DF0FE" w:rsidR="000A33E1" w:rsidRDefault="000A33E1" w:rsidP="000A33E1">
            <w:pPr>
              <w:pStyle w:val="Tabletext"/>
              <w:jc w:val="center"/>
            </w:pPr>
            <w:r>
              <w:t>128-255</w:t>
            </w:r>
          </w:p>
        </w:tc>
        <w:tc>
          <w:tcPr>
            <w:tcW w:w="1088" w:type="dxa"/>
          </w:tcPr>
          <w:p w14:paraId="2EFA8734" w14:textId="242412E5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128-255</w:t>
            </w:r>
          </w:p>
        </w:tc>
        <w:tc>
          <w:tcPr>
            <w:tcW w:w="4188" w:type="dxa"/>
          </w:tcPr>
          <w:p w14:paraId="5C21AA8F" w14:textId="730519FE" w:rsidR="000A33E1" w:rsidRDefault="000A33E1" w:rsidP="000A33E1">
            <w:pPr>
              <w:pStyle w:val="Tableinsetlist"/>
              <w:numPr>
                <w:ilvl w:val="0"/>
                <w:numId w:val="0"/>
              </w:numPr>
              <w:ind w:left="397" w:hanging="284"/>
              <w:jc w:val="center"/>
            </w:pPr>
            <w:r>
              <w:t>Dependent on how many bytes follow, see below.</w:t>
            </w:r>
          </w:p>
        </w:tc>
        <w:tc>
          <w:tcPr>
            <w:tcW w:w="3754" w:type="dxa"/>
          </w:tcPr>
          <w:p w14:paraId="12991388" w14:textId="48B45344" w:rsidR="000A33E1" w:rsidRDefault="000A33E1" w:rsidP="000A33E1">
            <w:pPr>
              <w:pStyle w:val="Tabletext"/>
              <w:jc w:val="center"/>
            </w:pPr>
            <w:r>
              <w:t xml:space="preserve">See next chapter on “Level </w:t>
            </w:r>
            <w:r w:rsidR="000E709F">
              <w:t>N</w:t>
            </w:r>
            <w:r>
              <w:t>”.</w:t>
            </w:r>
          </w:p>
        </w:tc>
      </w:tr>
    </w:tbl>
    <w:p w14:paraId="2272316A" w14:textId="77777777" w:rsidR="005C2408" w:rsidRPr="005C2408" w:rsidRDefault="005C2408" w:rsidP="005C2408">
      <w:pPr>
        <w:spacing w:after="120"/>
        <w:jc w:val="both"/>
        <w:rPr>
          <w:sz w:val="22"/>
        </w:rPr>
      </w:pPr>
    </w:p>
    <w:p w14:paraId="0CA3E2AC" w14:textId="6293E923" w:rsidR="000A41B1" w:rsidRPr="00102F6C" w:rsidRDefault="000A41B1" w:rsidP="000A41B1">
      <w:pPr>
        <w:pStyle w:val="Heading3"/>
      </w:pPr>
      <w:bookmarkStart w:id="23" w:name="_Toc209076993"/>
      <w:r>
        <w:t xml:space="preserve">Level </w:t>
      </w:r>
      <w:r>
        <w:t>n</w:t>
      </w:r>
      <w:bookmarkEnd w:id="23"/>
    </w:p>
    <w:p w14:paraId="4171695A" w14:textId="157FC8AA" w:rsidR="000A41B1" w:rsidRPr="000E709F" w:rsidRDefault="000A41B1" w:rsidP="000A41B1">
      <w:pPr>
        <w:spacing w:after="120"/>
        <w:jc w:val="both"/>
        <w:rPr>
          <w:sz w:val="22"/>
        </w:rPr>
      </w:pPr>
      <w:proofErr w:type="gramStart"/>
      <w:r>
        <w:rPr>
          <w:sz w:val="22"/>
        </w:rPr>
        <w:t>Subsequent to</w:t>
      </w:r>
      <w:proofErr w:type="gramEnd"/>
      <w:r>
        <w:rPr>
          <w:sz w:val="22"/>
        </w:rPr>
        <w:t xml:space="preserve"> the 2</w:t>
      </w:r>
      <w:r w:rsidRPr="000A41B1">
        <w:rPr>
          <w:sz w:val="22"/>
          <w:vertAlign w:val="superscript"/>
        </w:rPr>
        <w:t>nd</w:t>
      </w:r>
      <w:r>
        <w:rPr>
          <w:sz w:val="22"/>
        </w:rPr>
        <w:t xml:space="preserve"> byte, more bytes can be added to the VPFI if a greater application range is needed in the future.</w:t>
      </w:r>
      <w:r w:rsidR="000E709F">
        <w:rPr>
          <w:sz w:val="22"/>
        </w:rPr>
        <w:t xml:space="preserve"> Each added byte creates a new level with 128</w:t>
      </w:r>
      <w:r w:rsidR="000E709F">
        <w:rPr>
          <w:sz w:val="22"/>
          <w:vertAlign w:val="superscript"/>
        </w:rPr>
        <w:t>n</w:t>
      </w:r>
      <w:r w:rsidR="000E709F">
        <w:rPr>
          <w:sz w:val="22"/>
        </w:rPr>
        <w:t xml:space="preserve"> more applications to be fit.</w:t>
      </w:r>
    </w:p>
    <w:p w14:paraId="2677B89F" w14:textId="77777777" w:rsidR="00D4402A" w:rsidRPr="00D4402A" w:rsidRDefault="00D4402A" w:rsidP="00D4402A">
      <w:pPr>
        <w:pStyle w:val="AnnextitleHead10"/>
        <w:ind w:left="0" w:firstLine="0"/>
      </w:pPr>
    </w:p>
    <w:sectPr w:rsidR="00D4402A" w:rsidRPr="00D4402A" w:rsidSect="0083218D">
      <w:headerReference w:type="even" r:id="rId31"/>
      <w:headerReference w:type="default" r:id="rId32"/>
      <w:headerReference w:type="first" r:id="rId3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Sarah Robinson" w:date="2020-12-18T18:16:00Z" w:initials="SR">
    <w:p w14:paraId="33EDF6DE" w14:textId="77777777" w:rsidR="006C3466" w:rsidRPr="00B11E00" w:rsidRDefault="006C3466" w:rsidP="00B11E00">
      <w:pPr>
        <w:pStyle w:val="Noting"/>
        <w:rPr>
          <w:rFonts w:cs="Times New Roman"/>
          <w:b/>
          <w:bCs/>
          <w:sz w:val="22"/>
          <w:szCs w:val="20"/>
          <w:lang w:eastAsia="en-GB"/>
        </w:rPr>
      </w:pPr>
      <w:r>
        <w:rPr>
          <w:rStyle w:val="CommentReference"/>
        </w:rPr>
        <w:annotationRef/>
      </w:r>
      <w:r>
        <w:rPr>
          <w:rFonts w:cs="Times New Roman"/>
          <w:b/>
          <w:bCs/>
          <w:sz w:val="22"/>
          <w:szCs w:val="20"/>
          <w:lang w:eastAsia="en-GB"/>
        </w:rPr>
        <w:t>Please note that:</w:t>
      </w:r>
    </w:p>
    <w:p w14:paraId="4B246F60" w14:textId="77777777" w:rsidR="006C3466" w:rsidRDefault="006C3466" w:rsidP="00B11E00">
      <w:pPr>
        <w:pStyle w:val="Bullet1text"/>
      </w:pPr>
    </w:p>
    <w:p w14:paraId="4FD18FB7" w14:textId="77777777" w:rsidR="006C3466" w:rsidRDefault="006C3466" w:rsidP="0060227D">
      <w:pPr>
        <w:pStyle w:val="Bullet1text"/>
        <w:jc w:val="left"/>
      </w:pPr>
      <w:bookmarkStart w:id="6" w:name="_Hlk59265846"/>
      <w:r w:rsidRPr="00D942EA">
        <w:t xml:space="preserve">The </w:t>
      </w:r>
      <w:r>
        <w:t xml:space="preserve">Recommendation </w:t>
      </w:r>
      <w:r w:rsidRPr="00D942EA">
        <w:t xml:space="preserve">sentences are </w:t>
      </w:r>
      <w:r>
        <w:t>included</w:t>
      </w:r>
      <w:r w:rsidRPr="00D942EA">
        <w:t xml:space="preserve"> in a default sequence with </w:t>
      </w:r>
      <w:r>
        <w:t xml:space="preserve">specific </w:t>
      </w:r>
      <w:r w:rsidRPr="00D942EA">
        <w:t>starting words.</w:t>
      </w:r>
    </w:p>
    <w:p w14:paraId="35833127" w14:textId="77777777" w:rsidR="006C3466" w:rsidRDefault="006C3466" w:rsidP="0060227D">
      <w:pPr>
        <w:pStyle w:val="Bullet1text"/>
        <w:jc w:val="left"/>
      </w:pPr>
    </w:p>
    <w:p w14:paraId="05017E90" w14:textId="77777777" w:rsidR="006C3466" w:rsidRPr="00C955BE" w:rsidRDefault="006C3466" w:rsidP="0060227D">
      <w:pPr>
        <w:pStyle w:val="Bullet1text"/>
        <w:jc w:val="left"/>
        <w:rPr>
          <w:b/>
          <w:bCs/>
        </w:rPr>
      </w:pPr>
      <w:r>
        <w:t>Other than the starting words, the sentences should be edited accordingly or removed completely where appropriate, apart from the first paragraph starting “</w:t>
      </w:r>
      <w:r w:rsidRPr="00B11E00">
        <w:rPr>
          <w:b/>
          <w:bCs/>
        </w:rPr>
        <w:t>RECALLING</w:t>
      </w:r>
      <w:r>
        <w:t xml:space="preserve">” which should always be included. If this first paragraph is removed by mistake it can be reinserted by selecting the </w:t>
      </w:r>
      <w:r w:rsidRPr="00C955BE">
        <w:rPr>
          <w:b/>
          <w:bCs/>
        </w:rPr>
        <w:t>Insert</w:t>
      </w:r>
      <w:r>
        <w:t xml:space="preserve"> menu and selecting </w:t>
      </w:r>
      <w:r w:rsidRPr="00C955BE">
        <w:rPr>
          <w:b/>
          <w:bCs/>
        </w:rPr>
        <w:t>Quick Parts</w:t>
      </w:r>
      <w:r>
        <w:t xml:space="preserve"> and the AutoText entry </w:t>
      </w:r>
      <w:r w:rsidRPr="00C955BE">
        <w:rPr>
          <w:b/>
          <w:bCs/>
        </w:rPr>
        <w:t>Recalling</w:t>
      </w:r>
      <w:r>
        <w:rPr>
          <w:b/>
          <w:bCs/>
        </w:rPr>
        <w:t>.</w:t>
      </w:r>
    </w:p>
    <w:p w14:paraId="2561022D" w14:textId="77777777" w:rsidR="006C3466" w:rsidRDefault="006C3466" w:rsidP="0060227D">
      <w:pPr>
        <w:pStyle w:val="Bullet1text"/>
        <w:jc w:val="left"/>
      </w:pPr>
    </w:p>
    <w:p w14:paraId="159D441A" w14:textId="77777777" w:rsidR="006C3466" w:rsidRPr="00610901" w:rsidRDefault="006C3466" w:rsidP="0060227D">
      <w:pPr>
        <w:pStyle w:val="Bullet1text"/>
        <w:jc w:val="left"/>
        <w:rPr>
          <w:bCs/>
        </w:rPr>
      </w:pPr>
      <w:r>
        <w:t>T</w:t>
      </w:r>
      <w:r w:rsidRPr="00D942EA">
        <w:t xml:space="preserve">he main sentences should be written using the </w:t>
      </w:r>
      <w:r w:rsidRPr="00D942EA">
        <w:rPr>
          <w:b/>
        </w:rPr>
        <w:t>Noting style</w:t>
      </w:r>
      <w:r>
        <w:rPr>
          <w:b/>
        </w:rPr>
        <w:t xml:space="preserve"> </w:t>
      </w:r>
      <w:r>
        <w:rPr>
          <w:bCs/>
        </w:rPr>
        <w:t>Applying</w:t>
      </w:r>
      <w:r w:rsidRPr="00610901">
        <w:rPr>
          <w:bCs/>
        </w:rPr>
        <w:t xml:space="preserve"> the</w:t>
      </w:r>
      <w:r>
        <w:rPr>
          <w:b/>
        </w:rPr>
        <w:t xml:space="preserve"> Recalling </w:t>
      </w:r>
      <w:r w:rsidRPr="00610901">
        <w:rPr>
          <w:bCs/>
        </w:rPr>
        <w:t>style for the first word will apply bold formatting.</w:t>
      </w:r>
    </w:p>
    <w:p w14:paraId="4D4A656C" w14:textId="77777777" w:rsidR="006C3466" w:rsidRPr="00B11E00" w:rsidRDefault="006C3466" w:rsidP="0060227D">
      <w:pPr>
        <w:pStyle w:val="Bullet1text"/>
        <w:jc w:val="left"/>
        <w:rPr>
          <w:bCs/>
        </w:rPr>
      </w:pPr>
    </w:p>
    <w:p w14:paraId="3A21C11E" w14:textId="77777777" w:rsidR="006C3466" w:rsidRPr="00B11E00" w:rsidRDefault="006C3466" w:rsidP="0060227D">
      <w:pPr>
        <w:pStyle w:val="Bullet1text"/>
        <w:jc w:val="left"/>
        <w:rPr>
          <w:bCs/>
        </w:rPr>
      </w:pPr>
      <w:r w:rsidRPr="00B11E00">
        <w:rPr>
          <w:bCs/>
        </w:rPr>
        <w:t>Specific List</w:t>
      </w:r>
      <w:r>
        <w:rPr>
          <w:bCs/>
        </w:rPr>
        <w:t xml:space="preserve"> </w:t>
      </w:r>
      <w:r w:rsidRPr="00B11E00">
        <w:rPr>
          <w:bCs/>
        </w:rPr>
        <w:t>styles are available for the main recommendation as these will indent the text to align with the starting paragraphs.</w:t>
      </w:r>
      <w:r>
        <w:rPr>
          <w:bCs/>
        </w:rPr>
        <w:t xml:space="preserve"> </w:t>
      </w:r>
      <w:r w:rsidRPr="00B11E00">
        <w:rPr>
          <w:bCs/>
        </w:rPr>
        <w:t xml:space="preserve">These styles have the title </w:t>
      </w:r>
      <w:r w:rsidRPr="00B11E00">
        <w:rPr>
          <w:b/>
        </w:rPr>
        <w:t>List 1 Recommendation</w:t>
      </w:r>
      <w:r w:rsidRPr="00B11E00">
        <w:rPr>
          <w:bCs/>
        </w:rPr>
        <w:t xml:space="preserve">, </w:t>
      </w:r>
      <w:r w:rsidRPr="00151514">
        <w:rPr>
          <w:b/>
        </w:rPr>
        <w:t>List a Recommendation</w:t>
      </w:r>
      <w:r>
        <w:rPr>
          <w:bCs/>
        </w:rPr>
        <w:t xml:space="preserve"> </w:t>
      </w:r>
      <w:r w:rsidRPr="00B11E00">
        <w:rPr>
          <w:bCs/>
        </w:rPr>
        <w:t>etc. and are distinct f</w:t>
      </w:r>
      <w:r>
        <w:rPr>
          <w:bCs/>
        </w:rPr>
        <w:t>rom</w:t>
      </w:r>
      <w:r w:rsidRPr="00B11E00">
        <w:rPr>
          <w:bCs/>
        </w:rPr>
        <w:t xml:space="preserve"> the general and</w:t>
      </w:r>
      <w:r>
        <w:rPr>
          <w:bCs/>
        </w:rPr>
        <w:t xml:space="preserve"> l</w:t>
      </w:r>
      <w:r w:rsidRPr="00B11E00">
        <w:rPr>
          <w:bCs/>
        </w:rPr>
        <w:t>ist</w:t>
      </w:r>
      <w:r>
        <w:rPr>
          <w:bCs/>
        </w:rPr>
        <w:t xml:space="preserve"> styles</w:t>
      </w:r>
      <w:r w:rsidRPr="00B11E00">
        <w:rPr>
          <w:bCs/>
        </w:rPr>
        <w:t xml:space="preserve"> </w:t>
      </w:r>
      <w:r>
        <w:rPr>
          <w:bCs/>
        </w:rPr>
        <w:t xml:space="preserve">to be </w:t>
      </w:r>
      <w:r w:rsidRPr="00B11E00">
        <w:rPr>
          <w:bCs/>
        </w:rPr>
        <w:t>used if there i</w:t>
      </w:r>
      <w:r>
        <w:rPr>
          <w:bCs/>
        </w:rPr>
        <w:t>s</w:t>
      </w:r>
      <w:r w:rsidRPr="00B11E00">
        <w:rPr>
          <w:bCs/>
        </w:rPr>
        <w:t xml:space="preserve"> an annex to the document</w:t>
      </w:r>
      <w:r>
        <w:rPr>
          <w:bCs/>
        </w:rPr>
        <w:t>.</w:t>
      </w:r>
    </w:p>
    <w:bookmarkEnd w:id="6"/>
    <w:p w14:paraId="3BFA706B" w14:textId="77777777" w:rsidR="006C3466" w:rsidRDefault="006C3466">
      <w:pPr>
        <w:pStyle w:val="CommentText"/>
      </w:pPr>
    </w:p>
  </w:comment>
  <w:comment w:id="8" w:author="Stefan Pielmeier" w:date="2025-07-28T11:17:00Z" w:initials="SP">
    <w:p w14:paraId="6E2B9B86" w14:textId="77777777" w:rsidR="007C7EC8" w:rsidRDefault="007C7EC8" w:rsidP="007C7EC8">
      <w:r>
        <w:rPr>
          <w:rStyle w:val="CommentReference"/>
        </w:rPr>
        <w:annotationRef/>
      </w:r>
      <w:r>
        <w:rPr>
          <w:sz w:val="24"/>
          <w:szCs w:val="24"/>
        </w:rPr>
        <w:t>text drictly from R1007</w:t>
      </w:r>
    </w:p>
  </w:comment>
  <w:comment w:id="11" w:author="Sarah Robinson" w:date="2020-12-31T11:20:00Z" w:initials="SR">
    <w:p w14:paraId="11B78E84" w14:textId="2F320F17" w:rsidR="008D5ED1" w:rsidRDefault="006C3466">
      <w:pPr>
        <w:pStyle w:val="CommentText"/>
      </w:pPr>
      <w:r>
        <w:rPr>
          <w:rStyle w:val="CommentReference"/>
        </w:rPr>
        <w:annotationRef/>
      </w:r>
      <w:r w:rsidR="008D5ED1">
        <w:t xml:space="preserve">Reference to an annex or annexes should be made within the main Recommendation text. </w:t>
      </w:r>
    </w:p>
    <w:p w14:paraId="49E32908" w14:textId="77777777" w:rsidR="008D5ED1" w:rsidRDefault="008D5ED1">
      <w:pPr>
        <w:pStyle w:val="CommentText"/>
      </w:pPr>
    </w:p>
    <w:p w14:paraId="2AA9F1E6" w14:textId="77777777" w:rsidR="006C3466" w:rsidRDefault="006C3466">
      <w:pPr>
        <w:pStyle w:val="CommentText"/>
      </w:pPr>
      <w:r>
        <w:t>If there is/are no annex(es) to accompany the recommendation these subsequent pages can be deleted.</w:t>
      </w:r>
    </w:p>
  </w:comment>
  <w:comment w:id="18" w:author="Stefan Pielmeier" w:date="2025-09-03T20:54:00Z" w:initials="SP">
    <w:p w14:paraId="033CDABE" w14:textId="77777777" w:rsidR="00A25D54" w:rsidRDefault="00A25D54" w:rsidP="00A25D54">
      <w:r>
        <w:rPr>
          <w:rStyle w:val="CommentReference"/>
        </w:rPr>
        <w:annotationRef/>
      </w:r>
      <w:r>
        <w:rPr>
          <w:sz w:val="24"/>
          <w:szCs w:val="24"/>
        </w:rPr>
        <w:t>later Guideline on VDE Satellite Networks</w:t>
      </w:r>
    </w:p>
  </w:comment>
  <w:comment w:id="19" w:author="Stefan Pielmeier" w:date="2025-09-03T20:54:00Z" w:initials="SP">
    <w:p w14:paraId="14EBC149" w14:textId="7D3F3293" w:rsidR="00A25D54" w:rsidRDefault="00A25D54" w:rsidP="00A25D54">
      <w:r>
        <w:rPr>
          <w:rStyle w:val="CommentReference"/>
        </w:rPr>
        <w:annotationRef/>
      </w:r>
      <w:r>
        <w:rPr>
          <w:sz w:val="24"/>
          <w:szCs w:val="24"/>
        </w:rPr>
        <w:t>not sure which use cases we really have for that one</w:t>
      </w:r>
    </w:p>
  </w:comment>
  <w:comment w:id="20" w:author="Stefan Pielmeier" w:date="2025-09-03T20:54:00Z" w:initials="SP">
    <w:p w14:paraId="5940E5CB" w14:textId="6A87CF1A" w:rsidR="00A25D54" w:rsidRDefault="00A25D54" w:rsidP="00A25D54">
      <w:r>
        <w:rPr>
          <w:rStyle w:val="CommentReference"/>
        </w:rPr>
        <w:annotationRef/>
      </w:r>
      <w:r>
        <w:rPr>
          <w:sz w:val="24"/>
          <w:szCs w:val="24"/>
        </w:rPr>
        <w:t>later Guideline on VDE Satellite Networks</w:t>
      </w:r>
    </w:p>
  </w:comment>
  <w:comment w:id="21" w:author="Stefan Pielmeier" w:date="2025-09-03T21:07:00Z" w:initials="SP">
    <w:p w14:paraId="3BFF51C8" w14:textId="77777777" w:rsidR="005C2408" w:rsidRDefault="005C2408" w:rsidP="005C2408">
      <w:r>
        <w:rPr>
          <w:rStyle w:val="CommentReference"/>
        </w:rPr>
        <w:annotationRef/>
      </w:r>
      <w:r>
        <w:rPr>
          <w:sz w:val="24"/>
          <w:szCs w:val="24"/>
        </w:rPr>
        <w:t>and later the new guidelines on VDES Shore infrastructure, VDE Satellite (not yet 100% decided name), and MMS (DTEC WG1)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BFA706B" w15:done="0"/>
  <w15:commentEx w15:paraId="6E2B9B86" w15:done="0"/>
  <w15:commentEx w15:paraId="2AA9F1E6" w15:done="0"/>
  <w15:commentEx w15:paraId="033CDABE" w15:done="0"/>
  <w15:commentEx w15:paraId="14EBC149" w15:done="0"/>
  <w15:commentEx w15:paraId="5940E5CB" w15:done="0"/>
  <w15:commentEx w15:paraId="3BFF51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87706E" w16cex:dateUtc="2020-12-18T18:16:00Z"/>
  <w16cex:commentExtensible w16cex:durableId="008DA184" w16cex:dateUtc="2025-07-28T09:17:00Z"/>
  <w16cex:commentExtensible w16cex:durableId="2398327F" w16cex:dateUtc="2020-12-31T11:20:00Z"/>
  <w16cex:commentExtensible w16cex:durableId="34E509E7" w16cex:dateUtc="2025-09-03T18:54:00Z"/>
  <w16cex:commentExtensible w16cex:durableId="1CC0BD86" w16cex:dateUtc="2025-09-03T18:54:00Z"/>
  <w16cex:commentExtensible w16cex:durableId="45100774" w16cex:dateUtc="2025-09-03T18:54:00Z"/>
  <w16cex:commentExtensible w16cex:durableId="27154EE5" w16cex:dateUtc="2025-09-03T19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BFA706B" w16cid:durableId="2387706E"/>
  <w16cid:commentId w16cid:paraId="6E2B9B86" w16cid:durableId="008DA184"/>
  <w16cid:commentId w16cid:paraId="2AA9F1E6" w16cid:durableId="2398327F"/>
  <w16cid:commentId w16cid:paraId="033CDABE" w16cid:durableId="34E509E7"/>
  <w16cid:commentId w16cid:paraId="14EBC149" w16cid:durableId="1CC0BD86"/>
  <w16cid:commentId w16cid:paraId="5940E5CB" w16cid:durableId="45100774"/>
  <w16cid:commentId w16cid:paraId="3BFF51C8" w16cid:durableId="27154E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43A38" w14:textId="77777777" w:rsidR="001D2294" w:rsidRDefault="001D2294" w:rsidP="003274DB">
      <w:r>
        <w:separator/>
      </w:r>
    </w:p>
    <w:p w14:paraId="3F9A49BD" w14:textId="77777777" w:rsidR="001D2294" w:rsidRDefault="001D2294"/>
  </w:endnote>
  <w:endnote w:type="continuationSeparator" w:id="0">
    <w:p w14:paraId="6599A22D" w14:textId="77777777" w:rsidR="001D2294" w:rsidRDefault="001D2294" w:rsidP="003274DB">
      <w:r>
        <w:continuationSeparator/>
      </w:r>
    </w:p>
    <w:p w14:paraId="51EF9314" w14:textId="77777777" w:rsidR="001D2294" w:rsidRDefault="001D2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BE621" w14:textId="77777777" w:rsidR="007B79D8" w:rsidRDefault="007B7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B5BD8" w14:textId="77777777" w:rsidR="006C3466" w:rsidRPr="0032260F" w:rsidRDefault="006C3466" w:rsidP="0032260F">
    <w:pPr>
      <w:spacing w:line="180" w:lineRule="atLeast"/>
      <w:rPr>
        <w:rFonts w:ascii="Avenir Next LT Pro" w:hAnsi="Avenir Next LT Pro"/>
        <w:color w:val="808080" w:themeColor="background1" w:themeShade="80"/>
        <w:sz w:val="14"/>
        <w:szCs w:val="14"/>
        <w:lang w:val="fr-FR"/>
      </w:rPr>
    </w:pPr>
    <w:r>
      <w:rPr>
        <w:rFonts w:ascii="Avenir Next LT Pro" w:hAnsi="Avenir Next LT Pro"/>
        <w:noProof/>
        <w:color w:val="808080" w:themeColor="background1" w:themeShade="80"/>
        <w:sz w:val="14"/>
        <w:szCs w:val="14"/>
        <w:lang w:val="fr-FR"/>
      </w:rPr>
      <w:drawing>
        <wp:anchor distT="0" distB="0" distL="114300" distR="114300" simplePos="0" relativeHeight="251758592" behindDoc="1" locked="0" layoutInCell="1" allowOverlap="1" wp14:anchorId="082964EE" wp14:editId="3711A92C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8255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260F">
      <w:rPr>
        <w:rFonts w:ascii="Avenir Next LT Pro" w:hAnsi="Avenir Next LT Pro"/>
        <w:noProof/>
        <w:sz w:val="14"/>
        <w:szCs w:val="14"/>
        <w:lang w:val="en-IE" w:eastAsia="en-I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B93C4FE" wp14:editId="2EF90D1B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D1C94E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529F9" w14:textId="77777777" w:rsidR="007B79D8" w:rsidRDefault="007B79D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F8125" w14:textId="77777777" w:rsidR="006C3466" w:rsidRPr="007A72CF" w:rsidRDefault="006C3466" w:rsidP="007A72CF">
    <w:pPr>
      <w:pStyle w:val="Footer"/>
      <w:rPr>
        <w:sz w:val="15"/>
        <w:szCs w:val="15"/>
      </w:rPr>
    </w:pPr>
  </w:p>
  <w:p w14:paraId="001A340C" w14:textId="77777777" w:rsidR="006C3466" w:rsidRDefault="006C3466" w:rsidP="007A72CF">
    <w:pPr>
      <w:pStyle w:val="Footerportrait"/>
    </w:pPr>
  </w:p>
  <w:p w14:paraId="084B6E67" w14:textId="285D4950" w:rsidR="006C3466" w:rsidRPr="007A72CF" w:rsidRDefault="0050443F" w:rsidP="007A72CF">
    <w:pPr>
      <w:pStyle w:val="Footerportrait"/>
      <w:rPr>
        <w:rStyle w:val="PageNumber"/>
      </w:rPr>
    </w:pPr>
    <w:fldSimple w:instr=" STYLEREF &quot;Document type&quot; \* MERGEFORMAT ">
      <w:r w:rsidR="001A347F">
        <w:t>IALA Recommendation</w:t>
      </w:r>
    </w:fldSimple>
    <w:r w:rsidR="006C3466" w:rsidRPr="00BF6D41">
      <w:rPr>
        <w:b w:val="0"/>
        <w:bCs/>
      </w:rPr>
      <w:t xml:space="preserve"> </w:t>
    </w:r>
    <w:fldSimple w:instr=" STYLEREF  &quot;Document number&quot;  \* MERGEFORMAT ">
      <w:r w:rsidR="001A347F">
        <w:t>Rnnnn</w:t>
      </w:r>
    </w:fldSimple>
    <w:r w:rsidR="006C3466">
      <w:t xml:space="preserve"> </w:t>
    </w:r>
    <w:fldSimple w:instr=" STYLEREF  &quot;Document name&quot;  \* MERGEFORMAT ">
      <w:r w:rsidR="001A347F">
        <w:t>VDE Protocol Format IdentifierS</w:t>
      </w:r>
    </w:fldSimple>
    <w:r w:rsidR="006C3466">
      <w:tab/>
    </w:r>
  </w:p>
  <w:p w14:paraId="50D7282E" w14:textId="2EE6BCAE" w:rsidR="006C3466" w:rsidRDefault="0050443F" w:rsidP="007A72CF">
    <w:pPr>
      <w:pStyle w:val="Footerportrait"/>
    </w:pPr>
    <w:fldSimple w:instr=" STYLEREF &quot;Edition number&quot; \* MERGEFORMAT ">
      <w:r w:rsidR="001A347F">
        <w:t>Edition 0.1</w:t>
      </w:r>
    </w:fldSimple>
    <w:r w:rsidR="006C3466">
      <w:t xml:space="preserve"> </w:t>
    </w:r>
    <w:fldSimple w:instr=" STYLEREF  MRN  \* MERGEFORMAT ">
      <w:r w:rsidR="001A347F">
        <w:t>urn:mrn:iala:pub:rnnnn</w:t>
      </w:r>
    </w:fldSimple>
    <w:r w:rsidR="006C3466">
      <w:tab/>
    </w:r>
    <w:r w:rsidR="006C3466" w:rsidRPr="007A72CF">
      <w:t xml:space="preserve">P </w:t>
    </w:r>
    <w:r w:rsidR="006C3466" w:rsidRPr="007A72CF">
      <w:fldChar w:fldCharType="begin"/>
    </w:r>
    <w:r w:rsidR="006C3466" w:rsidRPr="007A72CF">
      <w:instrText xml:space="preserve">PAGE  </w:instrText>
    </w:r>
    <w:r w:rsidR="006C3466" w:rsidRPr="007A72CF">
      <w:fldChar w:fldCharType="separate"/>
    </w:r>
    <w:r w:rsidR="006C3466">
      <w:t>6</w:t>
    </w:r>
    <w:r w:rsidR="006C3466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BD292" w14:textId="77777777" w:rsidR="001D2294" w:rsidRDefault="001D2294" w:rsidP="003274DB">
      <w:r>
        <w:separator/>
      </w:r>
    </w:p>
  </w:footnote>
  <w:footnote w:type="continuationSeparator" w:id="0">
    <w:p w14:paraId="0D8BD5D9" w14:textId="77777777" w:rsidR="001D2294" w:rsidRDefault="001D2294" w:rsidP="003274DB">
      <w:r>
        <w:continuationSeparator/>
      </w:r>
    </w:p>
    <w:p w14:paraId="4897A200" w14:textId="77777777" w:rsidR="001D2294" w:rsidRDefault="001D22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CE700" w14:textId="77777777" w:rsidR="006C3466" w:rsidRDefault="001D2294">
    <w:pPr>
      <w:pStyle w:val="Header"/>
    </w:pPr>
    <w:r>
      <w:rPr>
        <w:noProof/>
      </w:rPr>
      <w:pict w14:anchorId="0E056C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2" o:spid="_x0000_s1047" type="#_x0000_t136" alt="" style="position:absolute;margin-left:0;margin-top:0;width:412.1pt;height:247.25pt;rotation:315;z-index:-2515537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0" allowOverlap="1" wp14:anchorId="06AA6C37" wp14:editId="5306216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3A6245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A6C3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0;margin-top:0;width:659.45pt;height:59.95pt;rotation:-45;z-index:-251582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" o:allowincell="f" filled="f" stroked="f">
              <v:stroke joinstyle="round"/>
              <o:lock v:ext="edit" shapetype="t"/>
              <v:textbox style="mso-fit-shape-to-text:t">
                <w:txbxContent>
                  <w:p w14:paraId="303A6245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C3466">
      <w:rPr>
        <w:noProof/>
      </w:rPr>
      <mc:AlternateContent>
        <mc:Choice Requires="wps">
          <w:drawing>
            <wp:anchor distT="0" distB="0" distL="114300" distR="114300" simplePos="0" relativeHeight="251705344" behindDoc="1" locked="0" layoutInCell="0" allowOverlap="1" wp14:anchorId="2D3BE800" wp14:editId="6E40065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3D9FD7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3BE800" id="Text Box 17" o:spid="_x0000_s1027" type="#_x0000_t202" style="position:absolute;margin-left:0;margin-top:0;width:604.45pt;height:54.95pt;rotation:-45;z-index:-251611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" o:allowincell="f" filled="f" stroked="f">
              <v:stroke joinstyle="round"/>
              <o:lock v:ext="edit" shapetype="t"/>
              <v:textbox style="mso-fit-shape-to-text:t">
                <w:txbxContent>
                  <w:p w14:paraId="793D9FD7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2F2D6" w14:textId="77777777" w:rsidR="006C3466" w:rsidRDefault="001D2294">
    <w:pPr>
      <w:pStyle w:val="Header"/>
    </w:pPr>
    <w:r>
      <w:rPr>
        <w:noProof/>
      </w:rPr>
      <w:pict w14:anchorId="750E9D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1" o:spid="_x0000_s1030" type="#_x0000_t136" alt="" style="position:absolute;margin-left:0;margin-top:0;width:412.1pt;height:247.25pt;rotation:315;z-index:-25153536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E085A" w14:textId="77777777" w:rsidR="007B79D8" w:rsidRDefault="001D2294">
    <w:pPr>
      <w:pStyle w:val="Header"/>
    </w:pPr>
    <w:r>
      <w:rPr>
        <w:noProof/>
      </w:rPr>
      <w:pict w14:anchorId="69F05C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2" o:spid="_x0000_s1029" type="#_x0000_t136" alt="" style="position:absolute;margin-left:0;margin-top:0;width:412.1pt;height:247.25pt;rotation:315;z-index:-25153331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B0D27" w14:textId="77777777" w:rsidR="006C3466" w:rsidRDefault="001D2294">
    <w:pPr>
      <w:pStyle w:val="Header"/>
    </w:pPr>
    <w:r>
      <w:rPr>
        <w:noProof/>
      </w:rPr>
      <w:pict w14:anchorId="2713D5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0" o:spid="_x0000_s1028" type="#_x0000_t136" alt="" style="position:absolute;margin-left:0;margin-top:0;width:412.1pt;height:247.25pt;rotation:315;z-index:-25153740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E62F5" w14:textId="77777777" w:rsidR="006C3466" w:rsidRDefault="001D2294">
    <w:pPr>
      <w:pStyle w:val="Header"/>
    </w:pPr>
    <w:r>
      <w:rPr>
        <w:noProof/>
      </w:rPr>
      <w:pict w14:anchorId="0C7F9F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4" o:spid="_x0000_s1027" type="#_x0000_t136" alt="" style="position:absolute;margin-left:0;margin-top:0;width:412.1pt;height:247.25pt;rotation:315;z-index:-251529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169EC" w14:textId="77777777" w:rsidR="006C3466" w:rsidRPr="00667792" w:rsidRDefault="001D2294" w:rsidP="00667792">
    <w:pPr>
      <w:pStyle w:val="Header"/>
    </w:pPr>
    <w:r>
      <w:rPr>
        <w:noProof/>
      </w:rPr>
      <w:pict w14:anchorId="304D6C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5" o:spid="_x0000_s1026" type="#_x0000_t136" alt="" style="position:absolute;margin-left:0;margin-top:0;width:412.1pt;height:247.25pt;rotation:315;z-index:-251527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val="en-IE" w:eastAsia="en-IE"/>
      </w:rPr>
      <w:drawing>
        <wp:anchor distT="0" distB="0" distL="114300" distR="114300" simplePos="0" relativeHeight="251728896" behindDoc="1" locked="0" layoutInCell="1" allowOverlap="1" wp14:anchorId="3BE91853" wp14:editId="78570848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29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740E1" w14:textId="77777777" w:rsidR="006C3466" w:rsidRDefault="001D2294">
    <w:pPr>
      <w:pStyle w:val="Header"/>
    </w:pPr>
    <w:r>
      <w:rPr>
        <w:noProof/>
      </w:rPr>
      <w:pict w14:anchorId="36E2F4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83" o:spid="_x0000_s1025" type="#_x0000_t136" alt="" style="position:absolute;margin-left:0;margin-top:0;width:412.1pt;height:247.25pt;rotation:315;z-index:-25153126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591C0" w14:textId="77777777" w:rsidR="006C3466" w:rsidRPr="00ED2A8D" w:rsidRDefault="001D2294" w:rsidP="008747E0">
    <w:pPr>
      <w:pStyle w:val="Header"/>
    </w:pPr>
    <w:r>
      <w:rPr>
        <w:noProof/>
      </w:rPr>
      <w:pict w14:anchorId="59B07A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3" o:spid="_x0000_s1046" type="#_x0000_t136" alt="" style="position:absolute;margin-left:0;margin-top:0;width:412.1pt;height:247.25pt;rotation:315;z-index:-2515517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1AA20BE3" wp14:editId="55AEC24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54C84" w14:textId="77777777" w:rsidR="006C3466" w:rsidRPr="00ED2A8D" w:rsidRDefault="006C3466" w:rsidP="008747E0">
    <w:pPr>
      <w:pStyle w:val="Header"/>
    </w:pPr>
  </w:p>
  <w:p w14:paraId="21052EA9" w14:textId="77777777" w:rsidR="006C3466" w:rsidRDefault="006C3466" w:rsidP="008747E0">
    <w:pPr>
      <w:pStyle w:val="Header"/>
    </w:pPr>
  </w:p>
  <w:p w14:paraId="5EDBC08A" w14:textId="77777777" w:rsidR="006C3466" w:rsidRDefault="006C3466" w:rsidP="008747E0">
    <w:pPr>
      <w:pStyle w:val="Header"/>
    </w:pPr>
  </w:p>
  <w:p w14:paraId="2F766259" w14:textId="77777777" w:rsidR="006C3466" w:rsidRDefault="006C3466" w:rsidP="008747E0">
    <w:pPr>
      <w:pStyle w:val="Header"/>
    </w:pPr>
  </w:p>
  <w:p w14:paraId="6BA7BF9B" w14:textId="77777777" w:rsidR="006C3466" w:rsidRDefault="006C3466" w:rsidP="008747E0">
    <w:pPr>
      <w:pStyle w:val="Header"/>
    </w:pPr>
  </w:p>
  <w:p w14:paraId="1D6E7DE5" w14:textId="77777777" w:rsidR="006C3466" w:rsidRDefault="006C3466" w:rsidP="008747E0">
    <w:pPr>
      <w:pStyle w:val="Header"/>
    </w:pPr>
  </w:p>
  <w:p w14:paraId="32E072EA" w14:textId="77777777" w:rsidR="006C3466" w:rsidRDefault="006C3466" w:rsidP="00A4078E">
    <w:pPr>
      <w:pStyle w:val="Header"/>
    </w:pPr>
  </w:p>
  <w:p w14:paraId="67A541BD" w14:textId="77777777" w:rsidR="006C3466" w:rsidRPr="00ED2A8D" w:rsidRDefault="006C3466" w:rsidP="001349DB">
    <w:pPr>
      <w:pStyle w:val="Header"/>
      <w:spacing w:line="360" w:lineRule="exact"/>
    </w:pPr>
    <w:r w:rsidRPr="00123B85">
      <w:rPr>
        <w:noProof/>
      </w:rPr>
      <w:drawing>
        <wp:anchor distT="0" distB="0" distL="114300" distR="114300" simplePos="0" relativeHeight="251757568" behindDoc="1" locked="0" layoutInCell="1" allowOverlap="1" wp14:anchorId="2C5F19B2" wp14:editId="57699296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15175" cy="1942465"/>
          <wp:effectExtent l="0" t="0" r="0" b="63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0A3F0" w14:textId="77777777" w:rsidR="006C3466" w:rsidRDefault="001D2294">
    <w:pPr>
      <w:pStyle w:val="Header"/>
    </w:pPr>
    <w:r>
      <w:rPr>
        <w:noProof/>
      </w:rPr>
      <w:pict w14:anchorId="08B7CE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1" o:spid="_x0000_s1045" type="#_x0000_t136" alt="" style="position:absolute;margin-left:0;margin-top:0;width:412.1pt;height:247.25pt;rotation:315;z-index:-2515558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</w:rPr>
      <mc:AlternateContent>
        <mc:Choice Requires="wps">
          <w:drawing>
            <wp:anchor distT="0" distB="0" distL="114300" distR="114300" simplePos="0" relativeHeight="251736064" behindDoc="1" locked="0" layoutInCell="0" allowOverlap="1" wp14:anchorId="62DBB576" wp14:editId="21CD5C2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F755C2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BB576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0;margin-top:0;width:659.45pt;height:59.95pt;rotation:-45;z-index:-251580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" o:allowincell="f" filled="f" stroked="f">
              <v:stroke joinstyle="round"/>
              <o:lock v:ext="edit" shapetype="t"/>
              <v:textbox style="mso-fit-shape-to-text:t">
                <w:txbxContent>
                  <w:p w14:paraId="7EF755C2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6C3466">
      <w:rPr>
        <w:noProof/>
      </w:rPr>
      <mc:AlternateContent>
        <mc:Choice Requires="wps">
          <w:drawing>
            <wp:anchor distT="0" distB="0" distL="114300" distR="114300" simplePos="0" relativeHeight="251707392" behindDoc="1" locked="0" layoutInCell="0" allowOverlap="1" wp14:anchorId="5E54969C" wp14:editId="6E22CE1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43CA4" w14:textId="77777777" w:rsidR="006C3466" w:rsidRDefault="006C3466" w:rsidP="00BF6D4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54969C" id="Text Box 15" o:spid="_x0000_s1029" type="#_x0000_t202" style="position:absolute;margin-left:0;margin-top:0;width:604.45pt;height:54.95pt;rotation:-45;z-index:-251609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" o:allowincell="f" filled="f" stroked="f">
              <v:stroke joinstyle="round"/>
              <o:lock v:ext="edit" shapetype="t"/>
              <v:textbox style="mso-fit-shape-to-text:t">
                <w:txbxContent>
                  <w:p w14:paraId="6E643CA4" w14:textId="77777777" w:rsidR="006C3466" w:rsidRDefault="006C3466" w:rsidP="00BF6D4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0FE36" w14:textId="77777777" w:rsidR="006C3466" w:rsidRDefault="001D2294">
    <w:pPr>
      <w:pStyle w:val="Header"/>
    </w:pPr>
    <w:r>
      <w:rPr>
        <w:noProof/>
      </w:rPr>
      <w:pict w14:anchorId="64CA52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5" o:spid="_x0000_s1044" type="#_x0000_t136" alt="" style="position:absolute;margin-left:0;margin-top:0;width:412.1pt;height:247.25pt;rotation:315;z-index:-25154764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3619F5FE">
        <v:shape id="_x0000_s1043" type="#_x0000_t136" alt="" style="position:absolute;margin-left:0;margin-top:0;width:659.45pt;height:59.95pt;rotation:315;z-index:-2515763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31CDA1B">
        <v:shape id="_x0000_s1042" type="#_x0000_t136" alt="" style="position:absolute;margin-left:0;margin-top:0;width:604.45pt;height:54.95pt;rotation:315;z-index:-2516049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E4389" w14:textId="77777777" w:rsidR="006C3466" w:rsidRPr="00ED2A8D" w:rsidRDefault="001D2294" w:rsidP="008747E0">
    <w:pPr>
      <w:pStyle w:val="Header"/>
    </w:pPr>
    <w:r>
      <w:rPr>
        <w:noProof/>
      </w:rPr>
      <w:pict w14:anchorId="221D23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6" o:spid="_x0000_s1041" type="#_x0000_t136" alt="" style="position:absolute;margin-left:0;margin-top:0;width:412.1pt;height:247.25pt;rotation:315;z-index:-2515456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78AEDFBD" wp14:editId="67CA5842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518EDF" w14:textId="77777777" w:rsidR="006C3466" w:rsidRPr="00ED2A8D" w:rsidRDefault="006C3466" w:rsidP="008747E0">
    <w:pPr>
      <w:pStyle w:val="Header"/>
    </w:pPr>
  </w:p>
  <w:p w14:paraId="1DE2F261" w14:textId="77777777" w:rsidR="006C3466" w:rsidRDefault="006C3466" w:rsidP="008747E0">
    <w:pPr>
      <w:pStyle w:val="Header"/>
    </w:pPr>
  </w:p>
  <w:p w14:paraId="26794643" w14:textId="77777777" w:rsidR="006C3466" w:rsidRDefault="006C3466" w:rsidP="008747E0">
    <w:pPr>
      <w:pStyle w:val="Header"/>
    </w:pPr>
  </w:p>
  <w:p w14:paraId="158935B6" w14:textId="77777777" w:rsidR="006C3466" w:rsidRDefault="006C3466" w:rsidP="008747E0">
    <w:pPr>
      <w:pStyle w:val="Header"/>
    </w:pPr>
  </w:p>
  <w:p w14:paraId="4BDE3187" w14:textId="77777777" w:rsidR="006C3466" w:rsidRPr="00441393" w:rsidRDefault="006C3466" w:rsidP="00441393">
    <w:pPr>
      <w:pStyle w:val="DocumentHistory"/>
    </w:pPr>
    <w:r>
      <w:t>DOCUMENT revision</w:t>
    </w:r>
  </w:p>
  <w:p w14:paraId="261EDA8A" w14:textId="77777777" w:rsidR="006C3466" w:rsidRPr="00ED2A8D" w:rsidRDefault="006C3466" w:rsidP="008747E0">
    <w:pPr>
      <w:pStyle w:val="Header"/>
    </w:pPr>
  </w:p>
  <w:p w14:paraId="08B2B973" w14:textId="77777777" w:rsidR="006C3466" w:rsidRPr="00AC33A2" w:rsidRDefault="006C3466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71688" w14:textId="77777777" w:rsidR="006C3466" w:rsidRDefault="001D2294">
    <w:pPr>
      <w:pStyle w:val="Header"/>
    </w:pPr>
    <w:r>
      <w:rPr>
        <w:noProof/>
      </w:rPr>
      <w:pict w14:anchorId="2D040F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4" o:spid="_x0000_s1040" type="#_x0000_t136" alt="" style="position:absolute;margin-left:0;margin-top:0;width:412.1pt;height:247.25pt;rotation:315;z-index:-2515496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6F3589E1">
        <v:shape id="_x0000_s1039" type="#_x0000_t136" alt="" style="position:absolute;margin-left:0;margin-top:0;width:659.45pt;height:59.95pt;rotation:315;z-index:-2515742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1D1DC8D1">
        <v:shape id="_x0000_s1038" type="#_x0000_t136" alt="" style="position:absolute;margin-left:0;margin-top:0;width:604.45pt;height:54.95pt;rotation:315;z-index:-2516029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79920" w14:textId="77777777" w:rsidR="006C3466" w:rsidRDefault="001D2294">
    <w:pPr>
      <w:pStyle w:val="Header"/>
    </w:pPr>
    <w:r>
      <w:rPr>
        <w:noProof/>
      </w:rPr>
      <w:pict w14:anchorId="4CB70D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8" o:spid="_x0000_s1037" type="#_x0000_t136" alt="" style="position:absolute;margin-left:0;margin-top:0;width:412.1pt;height:247.25pt;rotation:315;z-index:-25154150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55BAA792">
        <v:shape id="_x0000_s1036" type="#_x0000_t136" alt="" style="position:absolute;margin-left:0;margin-top:0;width:659.45pt;height:59.95pt;rotation:315;z-index:-2515701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273124E">
        <v:shape id="_x0000_s1035" type="#_x0000_t136" alt="" style="position:absolute;margin-left:0;margin-top:0;width:604.45pt;height:54.95pt;rotation:315;z-index:-25159884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C9AF9" w14:textId="77777777" w:rsidR="006C3466" w:rsidRPr="00667792" w:rsidRDefault="001D2294" w:rsidP="00667792">
    <w:pPr>
      <w:pStyle w:val="Header"/>
    </w:pPr>
    <w:r>
      <w:rPr>
        <w:noProof/>
      </w:rPr>
      <w:pict w14:anchorId="0DA823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9" o:spid="_x0000_s1034" type="#_x0000_t136" alt="" style="position:absolute;margin-left:0;margin-top:0;width:412.1pt;height:247.25pt;rotation:315;z-index:-25153945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C3466"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4E850CC2" wp14:editId="61473ED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7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170DB" w14:textId="77777777" w:rsidR="006C3466" w:rsidRDefault="001D2294">
    <w:pPr>
      <w:pStyle w:val="Header"/>
    </w:pPr>
    <w:r>
      <w:rPr>
        <w:noProof/>
      </w:rPr>
      <w:pict w14:anchorId="13167F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415677" o:spid="_x0000_s1033" type="#_x0000_t136" alt="" style="position:absolute;margin-left:0;margin-top:0;width:412.1pt;height:247.25pt;rotation:315;z-index:-2515435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3FE54FA1">
        <v:shape id="_x0000_s1032" type="#_x0000_t136" alt="" style="position:absolute;margin-left:0;margin-top:0;width:659.45pt;height:59.95pt;rotation:315;z-index:-2515681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369EB4F">
        <v:shape id="_x0000_s1031" type="#_x0000_t136" alt="" style="position:absolute;margin-left:0;margin-top:0;width:604.45pt;height:54.95pt;rotation:315;z-index:-2515968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FF6A4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6AC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DE341E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3A1829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7060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924C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AD4EA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EA6D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09689E"/>
    <w:multiLevelType w:val="multilevel"/>
    <w:tmpl w:val="4DFC1F5C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71761D6C"/>
    <w:lvl w:ilvl="0">
      <w:start w:val="1"/>
      <w:numFmt w:val="upperLetter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4713543"/>
    <w:multiLevelType w:val="hybridMultilevel"/>
    <w:tmpl w:val="EAA68BC8"/>
    <w:lvl w:ilvl="0" w:tplc="AF5E55D2">
      <w:start w:val="20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C375900"/>
    <w:multiLevelType w:val="multilevel"/>
    <w:tmpl w:val="982EAFC6"/>
    <w:lvl w:ilvl="0">
      <w:start w:val="1"/>
      <w:numFmt w:val="upperLetter"/>
      <w:pStyle w:val="AnnextitleHead1"/>
      <w:lvlText w:val="ANNEX %1 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AnnexHead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nnexHead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2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6556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574109">
    <w:abstractNumId w:val="13"/>
  </w:num>
  <w:num w:numId="3" w16cid:durableId="1331641432">
    <w:abstractNumId w:val="28"/>
  </w:num>
  <w:num w:numId="4" w16cid:durableId="1545869425">
    <w:abstractNumId w:val="18"/>
  </w:num>
  <w:num w:numId="5" w16cid:durableId="407264399">
    <w:abstractNumId w:val="16"/>
  </w:num>
  <w:num w:numId="6" w16cid:durableId="102770076">
    <w:abstractNumId w:val="10"/>
  </w:num>
  <w:num w:numId="7" w16cid:durableId="1370105726">
    <w:abstractNumId w:val="33"/>
  </w:num>
  <w:num w:numId="8" w16cid:durableId="1251738715">
    <w:abstractNumId w:val="15"/>
  </w:num>
  <w:num w:numId="9" w16cid:durableId="1889686598">
    <w:abstractNumId w:val="31"/>
  </w:num>
  <w:num w:numId="10" w16cid:durableId="859777903">
    <w:abstractNumId w:val="14"/>
  </w:num>
  <w:num w:numId="11" w16cid:durableId="479544415">
    <w:abstractNumId w:val="27"/>
  </w:num>
  <w:num w:numId="12" w16cid:durableId="465899994">
    <w:abstractNumId w:val="12"/>
  </w:num>
  <w:num w:numId="13" w16cid:durableId="797770250">
    <w:abstractNumId w:val="19"/>
  </w:num>
  <w:num w:numId="14" w16cid:durableId="968512724">
    <w:abstractNumId w:val="9"/>
  </w:num>
  <w:num w:numId="15" w16cid:durableId="20402812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7068743">
    <w:abstractNumId w:val="11"/>
  </w:num>
  <w:num w:numId="17" w16cid:durableId="1875002144">
    <w:abstractNumId w:val="29"/>
  </w:num>
  <w:num w:numId="18" w16cid:durableId="1350791756">
    <w:abstractNumId w:val="25"/>
  </w:num>
  <w:num w:numId="19" w16cid:durableId="1508784655">
    <w:abstractNumId w:val="34"/>
  </w:num>
  <w:num w:numId="20" w16cid:durableId="390085046">
    <w:abstractNumId w:val="32"/>
  </w:num>
  <w:num w:numId="21" w16cid:durableId="1618297329">
    <w:abstractNumId w:val="22"/>
  </w:num>
  <w:num w:numId="22" w16cid:durableId="12893196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44803117">
    <w:abstractNumId w:val="8"/>
  </w:num>
  <w:num w:numId="24" w16cid:durableId="1459758312">
    <w:abstractNumId w:val="2"/>
  </w:num>
  <w:num w:numId="25" w16cid:durableId="632950989">
    <w:abstractNumId w:val="6"/>
  </w:num>
  <w:num w:numId="26" w16cid:durableId="535971155">
    <w:abstractNumId w:val="5"/>
  </w:num>
  <w:num w:numId="27" w16cid:durableId="782194188">
    <w:abstractNumId w:val="4"/>
  </w:num>
  <w:num w:numId="28" w16cid:durableId="1169247217">
    <w:abstractNumId w:val="3"/>
  </w:num>
  <w:num w:numId="29" w16cid:durableId="1230191037">
    <w:abstractNumId w:val="1"/>
  </w:num>
  <w:num w:numId="30" w16cid:durableId="1602756940">
    <w:abstractNumId w:val="0"/>
  </w:num>
  <w:num w:numId="31" w16cid:durableId="1583221169">
    <w:abstractNumId w:val="30"/>
  </w:num>
  <w:num w:numId="32" w16cid:durableId="589168719">
    <w:abstractNumId w:val="30"/>
  </w:num>
  <w:num w:numId="33" w16cid:durableId="237905026">
    <w:abstractNumId w:val="30"/>
  </w:num>
  <w:num w:numId="34" w16cid:durableId="933708612">
    <w:abstractNumId w:val="30"/>
  </w:num>
  <w:num w:numId="35" w16cid:durableId="3322189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687726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60409551">
    <w:abstractNumId w:val="24"/>
  </w:num>
  <w:num w:numId="38" w16cid:durableId="1767067685">
    <w:abstractNumId w:val="7"/>
  </w:num>
  <w:num w:numId="39" w16cid:durableId="1873806850">
    <w:abstractNumId w:val="21"/>
  </w:num>
  <w:num w:numId="40" w16cid:durableId="10812183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73710504">
    <w:abstractNumId w:val="20"/>
  </w:num>
  <w:num w:numId="42" w16cid:durableId="19466173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273232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88085937">
    <w:abstractNumId w:val="26"/>
  </w:num>
  <w:num w:numId="45" w16cid:durableId="1859418803">
    <w:abstractNumId w:val="11"/>
  </w:num>
  <w:num w:numId="46" w16cid:durableId="1310088804">
    <w:abstractNumId w:val="23"/>
  </w:num>
  <w:num w:numId="47" w16cid:durableId="1233349147">
    <w:abstractNumId w:val="17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rah Robinson">
    <w15:presenceInfo w15:providerId="None" w15:userId="Sarah Robinson"/>
  </w15:person>
  <w15:person w15:author="Stefan Pielmeier">
    <w15:presenceInfo w15:providerId="Windows Live" w15:userId="0ddf0deaea38e8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561"/>
    <w:rsid w:val="0000406F"/>
    <w:rsid w:val="00004DBA"/>
    <w:rsid w:val="00007062"/>
    <w:rsid w:val="00016148"/>
    <w:rsid w:val="0001672D"/>
    <w:rsid w:val="000174F9"/>
    <w:rsid w:val="00023C4D"/>
    <w:rsid w:val="000258F6"/>
    <w:rsid w:val="00027F36"/>
    <w:rsid w:val="000302CA"/>
    <w:rsid w:val="000379A7"/>
    <w:rsid w:val="00040954"/>
    <w:rsid w:val="00040EB8"/>
    <w:rsid w:val="00047206"/>
    <w:rsid w:val="00053283"/>
    <w:rsid w:val="00055311"/>
    <w:rsid w:val="00057B6D"/>
    <w:rsid w:val="00060C0C"/>
    <w:rsid w:val="0006154F"/>
    <w:rsid w:val="00061A7B"/>
    <w:rsid w:val="00070F80"/>
    <w:rsid w:val="00081225"/>
    <w:rsid w:val="00083F71"/>
    <w:rsid w:val="00084FE9"/>
    <w:rsid w:val="0008563F"/>
    <w:rsid w:val="000859C4"/>
    <w:rsid w:val="00087BBE"/>
    <w:rsid w:val="000904ED"/>
    <w:rsid w:val="0009304C"/>
    <w:rsid w:val="00093A12"/>
    <w:rsid w:val="0009403A"/>
    <w:rsid w:val="00094508"/>
    <w:rsid w:val="00096642"/>
    <w:rsid w:val="00097C65"/>
    <w:rsid w:val="000A27A8"/>
    <w:rsid w:val="000A2B02"/>
    <w:rsid w:val="000A33E1"/>
    <w:rsid w:val="000A41B1"/>
    <w:rsid w:val="000B26B9"/>
    <w:rsid w:val="000C711B"/>
    <w:rsid w:val="000D2078"/>
    <w:rsid w:val="000E3954"/>
    <w:rsid w:val="000E3E52"/>
    <w:rsid w:val="000E709F"/>
    <w:rsid w:val="000F0F9F"/>
    <w:rsid w:val="000F1869"/>
    <w:rsid w:val="000F3F43"/>
    <w:rsid w:val="00102F6C"/>
    <w:rsid w:val="00111E0A"/>
    <w:rsid w:val="00113D5B"/>
    <w:rsid w:val="00113F8F"/>
    <w:rsid w:val="0011782B"/>
    <w:rsid w:val="0012072E"/>
    <w:rsid w:val="00122F59"/>
    <w:rsid w:val="00123B85"/>
    <w:rsid w:val="001349DB"/>
    <w:rsid w:val="00136E58"/>
    <w:rsid w:val="00140600"/>
    <w:rsid w:val="00140901"/>
    <w:rsid w:val="00143AC2"/>
    <w:rsid w:val="00146A03"/>
    <w:rsid w:val="001471A2"/>
    <w:rsid w:val="00151514"/>
    <w:rsid w:val="00154C29"/>
    <w:rsid w:val="00157648"/>
    <w:rsid w:val="00161325"/>
    <w:rsid w:val="001651F2"/>
    <w:rsid w:val="00166C2E"/>
    <w:rsid w:val="00170A4D"/>
    <w:rsid w:val="00174347"/>
    <w:rsid w:val="001875B1"/>
    <w:rsid w:val="001879FE"/>
    <w:rsid w:val="00194C14"/>
    <w:rsid w:val="0019707C"/>
    <w:rsid w:val="001A347F"/>
    <w:rsid w:val="001A5A05"/>
    <w:rsid w:val="001B05F5"/>
    <w:rsid w:val="001B44DC"/>
    <w:rsid w:val="001B7940"/>
    <w:rsid w:val="001C16E6"/>
    <w:rsid w:val="001C18B0"/>
    <w:rsid w:val="001D2294"/>
    <w:rsid w:val="001D4A3E"/>
    <w:rsid w:val="001D6561"/>
    <w:rsid w:val="001E1419"/>
    <w:rsid w:val="001E416D"/>
    <w:rsid w:val="001F08DA"/>
    <w:rsid w:val="00201337"/>
    <w:rsid w:val="002022EA"/>
    <w:rsid w:val="00205B17"/>
    <w:rsid w:val="00205D9B"/>
    <w:rsid w:val="002147A0"/>
    <w:rsid w:val="002162EC"/>
    <w:rsid w:val="002204DA"/>
    <w:rsid w:val="0022371A"/>
    <w:rsid w:val="002251A9"/>
    <w:rsid w:val="0025010C"/>
    <w:rsid w:val="00250967"/>
    <w:rsid w:val="002520AD"/>
    <w:rsid w:val="002547CB"/>
    <w:rsid w:val="00257DF8"/>
    <w:rsid w:val="00257E4A"/>
    <w:rsid w:val="0027175D"/>
    <w:rsid w:val="00277C8A"/>
    <w:rsid w:val="00280A3F"/>
    <w:rsid w:val="002B7099"/>
    <w:rsid w:val="002C044E"/>
    <w:rsid w:val="002D3E72"/>
    <w:rsid w:val="002D541B"/>
    <w:rsid w:val="002D5AF0"/>
    <w:rsid w:val="002E039B"/>
    <w:rsid w:val="002E4993"/>
    <w:rsid w:val="002E5BAC"/>
    <w:rsid w:val="002E6036"/>
    <w:rsid w:val="002E7635"/>
    <w:rsid w:val="002F265A"/>
    <w:rsid w:val="002F40FA"/>
    <w:rsid w:val="002F73C6"/>
    <w:rsid w:val="002F7520"/>
    <w:rsid w:val="00302F56"/>
    <w:rsid w:val="00305EFE"/>
    <w:rsid w:val="00310F95"/>
    <w:rsid w:val="00312966"/>
    <w:rsid w:val="00313D85"/>
    <w:rsid w:val="00315CE3"/>
    <w:rsid w:val="00316598"/>
    <w:rsid w:val="00320A41"/>
    <w:rsid w:val="00320C7A"/>
    <w:rsid w:val="0032260F"/>
    <w:rsid w:val="003251FE"/>
    <w:rsid w:val="003255DF"/>
    <w:rsid w:val="003274DB"/>
    <w:rsid w:val="00327FBF"/>
    <w:rsid w:val="00336410"/>
    <w:rsid w:val="00355D9A"/>
    <w:rsid w:val="003569B3"/>
    <w:rsid w:val="0036382D"/>
    <w:rsid w:val="00364A5E"/>
    <w:rsid w:val="00365274"/>
    <w:rsid w:val="00380350"/>
    <w:rsid w:val="00380B4E"/>
    <w:rsid w:val="003816E4"/>
    <w:rsid w:val="00386432"/>
    <w:rsid w:val="00392A6F"/>
    <w:rsid w:val="003947A1"/>
    <w:rsid w:val="003A02C9"/>
    <w:rsid w:val="003A7759"/>
    <w:rsid w:val="003B03EA"/>
    <w:rsid w:val="003B0E79"/>
    <w:rsid w:val="003B4B27"/>
    <w:rsid w:val="003B5C7C"/>
    <w:rsid w:val="003C7C34"/>
    <w:rsid w:val="003D0542"/>
    <w:rsid w:val="003D0F37"/>
    <w:rsid w:val="003D49C0"/>
    <w:rsid w:val="003D5150"/>
    <w:rsid w:val="003E18A5"/>
    <w:rsid w:val="003E5FD2"/>
    <w:rsid w:val="003F1C3A"/>
    <w:rsid w:val="00401703"/>
    <w:rsid w:val="0040376B"/>
    <w:rsid w:val="00405755"/>
    <w:rsid w:val="00406277"/>
    <w:rsid w:val="00406331"/>
    <w:rsid w:val="004076B9"/>
    <w:rsid w:val="00416165"/>
    <w:rsid w:val="00424475"/>
    <w:rsid w:val="00434484"/>
    <w:rsid w:val="00435D3F"/>
    <w:rsid w:val="00441393"/>
    <w:rsid w:val="00443866"/>
    <w:rsid w:val="0044432C"/>
    <w:rsid w:val="0044753A"/>
    <w:rsid w:val="00447CF0"/>
    <w:rsid w:val="004507BC"/>
    <w:rsid w:val="00456EE9"/>
    <w:rsid w:val="00456F10"/>
    <w:rsid w:val="004648CC"/>
    <w:rsid w:val="004673FD"/>
    <w:rsid w:val="00470488"/>
    <w:rsid w:val="00471C48"/>
    <w:rsid w:val="00483B71"/>
    <w:rsid w:val="00492344"/>
    <w:rsid w:val="00492A8D"/>
    <w:rsid w:val="004A1A86"/>
    <w:rsid w:val="004A1E3C"/>
    <w:rsid w:val="004A57C9"/>
    <w:rsid w:val="004B518C"/>
    <w:rsid w:val="004B701F"/>
    <w:rsid w:val="004C3279"/>
    <w:rsid w:val="004C61B4"/>
    <w:rsid w:val="004C77DC"/>
    <w:rsid w:val="004D24EC"/>
    <w:rsid w:val="004D5D33"/>
    <w:rsid w:val="004E18A2"/>
    <w:rsid w:val="004E1D57"/>
    <w:rsid w:val="004E2F16"/>
    <w:rsid w:val="004E4D98"/>
    <w:rsid w:val="004E4EC6"/>
    <w:rsid w:val="004E709D"/>
    <w:rsid w:val="004F4AE5"/>
    <w:rsid w:val="00503044"/>
    <w:rsid w:val="0050443F"/>
    <w:rsid w:val="00510795"/>
    <w:rsid w:val="00522666"/>
    <w:rsid w:val="00523040"/>
    <w:rsid w:val="00526234"/>
    <w:rsid w:val="005305CA"/>
    <w:rsid w:val="00530A84"/>
    <w:rsid w:val="00533B78"/>
    <w:rsid w:val="005378B8"/>
    <w:rsid w:val="00545234"/>
    <w:rsid w:val="00551FB6"/>
    <w:rsid w:val="00557434"/>
    <w:rsid w:val="005629E8"/>
    <w:rsid w:val="00564664"/>
    <w:rsid w:val="005649D1"/>
    <w:rsid w:val="00575520"/>
    <w:rsid w:val="00587D99"/>
    <w:rsid w:val="00591232"/>
    <w:rsid w:val="0059159F"/>
    <w:rsid w:val="00595415"/>
    <w:rsid w:val="005957DA"/>
    <w:rsid w:val="00597652"/>
    <w:rsid w:val="005A0449"/>
    <w:rsid w:val="005A080B"/>
    <w:rsid w:val="005A19E9"/>
    <w:rsid w:val="005A5370"/>
    <w:rsid w:val="005A5EAA"/>
    <w:rsid w:val="005B12A5"/>
    <w:rsid w:val="005C161A"/>
    <w:rsid w:val="005C1BCB"/>
    <w:rsid w:val="005C2312"/>
    <w:rsid w:val="005C2408"/>
    <w:rsid w:val="005C37E5"/>
    <w:rsid w:val="005C4735"/>
    <w:rsid w:val="005C5C63"/>
    <w:rsid w:val="005C67E5"/>
    <w:rsid w:val="005D304B"/>
    <w:rsid w:val="005E3989"/>
    <w:rsid w:val="005E4659"/>
    <w:rsid w:val="005F104A"/>
    <w:rsid w:val="005F1386"/>
    <w:rsid w:val="005F17C2"/>
    <w:rsid w:val="005F371C"/>
    <w:rsid w:val="005F50F7"/>
    <w:rsid w:val="005F5934"/>
    <w:rsid w:val="0060227D"/>
    <w:rsid w:val="00606A42"/>
    <w:rsid w:val="00610901"/>
    <w:rsid w:val="006127AC"/>
    <w:rsid w:val="00625A83"/>
    <w:rsid w:val="00634A78"/>
    <w:rsid w:val="00640299"/>
    <w:rsid w:val="00642025"/>
    <w:rsid w:val="006463E6"/>
    <w:rsid w:val="0065107F"/>
    <w:rsid w:val="00657038"/>
    <w:rsid w:val="006572F1"/>
    <w:rsid w:val="006621F3"/>
    <w:rsid w:val="00666061"/>
    <w:rsid w:val="00667424"/>
    <w:rsid w:val="00667792"/>
    <w:rsid w:val="00671677"/>
    <w:rsid w:val="006750F2"/>
    <w:rsid w:val="00676159"/>
    <w:rsid w:val="00682F47"/>
    <w:rsid w:val="00683CF5"/>
    <w:rsid w:val="0068553C"/>
    <w:rsid w:val="00685F34"/>
    <w:rsid w:val="006975A8"/>
    <w:rsid w:val="00697AF7"/>
    <w:rsid w:val="006A48A6"/>
    <w:rsid w:val="006A4C44"/>
    <w:rsid w:val="006B2D4C"/>
    <w:rsid w:val="006B32ED"/>
    <w:rsid w:val="006C26D4"/>
    <w:rsid w:val="006C3053"/>
    <w:rsid w:val="006C3466"/>
    <w:rsid w:val="006C71B1"/>
    <w:rsid w:val="006D0994"/>
    <w:rsid w:val="006E0E7D"/>
    <w:rsid w:val="006E207B"/>
    <w:rsid w:val="006E2635"/>
    <w:rsid w:val="006E58C0"/>
    <w:rsid w:val="006E72F4"/>
    <w:rsid w:val="006F16E6"/>
    <w:rsid w:val="006F1C14"/>
    <w:rsid w:val="00717D7F"/>
    <w:rsid w:val="0072592B"/>
    <w:rsid w:val="0072737A"/>
    <w:rsid w:val="00731DEE"/>
    <w:rsid w:val="007326BF"/>
    <w:rsid w:val="007407D6"/>
    <w:rsid w:val="0074389F"/>
    <w:rsid w:val="00745A76"/>
    <w:rsid w:val="00755B03"/>
    <w:rsid w:val="00766AD4"/>
    <w:rsid w:val="00770436"/>
    <w:rsid w:val="007715E8"/>
    <w:rsid w:val="007751AD"/>
    <w:rsid w:val="00776004"/>
    <w:rsid w:val="00783FF6"/>
    <w:rsid w:val="0078486B"/>
    <w:rsid w:val="00784C66"/>
    <w:rsid w:val="00785A39"/>
    <w:rsid w:val="00787D8A"/>
    <w:rsid w:val="00790277"/>
    <w:rsid w:val="00791EBC"/>
    <w:rsid w:val="00793577"/>
    <w:rsid w:val="00796570"/>
    <w:rsid w:val="007A272C"/>
    <w:rsid w:val="007A3F1A"/>
    <w:rsid w:val="007A4084"/>
    <w:rsid w:val="007A446A"/>
    <w:rsid w:val="007A6C50"/>
    <w:rsid w:val="007A72CF"/>
    <w:rsid w:val="007B395C"/>
    <w:rsid w:val="007B6A93"/>
    <w:rsid w:val="007B79D8"/>
    <w:rsid w:val="007C7EC8"/>
    <w:rsid w:val="007D2107"/>
    <w:rsid w:val="007D487F"/>
    <w:rsid w:val="007D5895"/>
    <w:rsid w:val="007D77AB"/>
    <w:rsid w:val="007E30DF"/>
    <w:rsid w:val="007E55F2"/>
    <w:rsid w:val="007E594E"/>
    <w:rsid w:val="007F7544"/>
    <w:rsid w:val="00800995"/>
    <w:rsid w:val="00805232"/>
    <w:rsid w:val="00822227"/>
    <w:rsid w:val="00827F87"/>
    <w:rsid w:val="00830E56"/>
    <w:rsid w:val="0083218D"/>
    <w:rsid w:val="008326B2"/>
    <w:rsid w:val="00832845"/>
    <w:rsid w:val="008336A7"/>
    <w:rsid w:val="00837A53"/>
    <w:rsid w:val="00840148"/>
    <w:rsid w:val="00841E15"/>
    <w:rsid w:val="008426F4"/>
    <w:rsid w:val="00842D67"/>
    <w:rsid w:val="0084526A"/>
    <w:rsid w:val="00846831"/>
    <w:rsid w:val="0084697E"/>
    <w:rsid w:val="00850F97"/>
    <w:rsid w:val="0085242A"/>
    <w:rsid w:val="00856939"/>
    <w:rsid w:val="008608A4"/>
    <w:rsid w:val="00861B7F"/>
    <w:rsid w:val="00865532"/>
    <w:rsid w:val="008674C1"/>
    <w:rsid w:val="008675C6"/>
    <w:rsid w:val="00872519"/>
    <w:rsid w:val="008737D3"/>
    <w:rsid w:val="008747E0"/>
    <w:rsid w:val="00876841"/>
    <w:rsid w:val="008778FA"/>
    <w:rsid w:val="00883A21"/>
    <w:rsid w:val="00886A89"/>
    <w:rsid w:val="008904CE"/>
    <w:rsid w:val="008972C3"/>
    <w:rsid w:val="008A1B4B"/>
    <w:rsid w:val="008A2E70"/>
    <w:rsid w:val="008A5884"/>
    <w:rsid w:val="008B14DC"/>
    <w:rsid w:val="008B237E"/>
    <w:rsid w:val="008B66B8"/>
    <w:rsid w:val="008C33B5"/>
    <w:rsid w:val="008C67F5"/>
    <w:rsid w:val="008D017F"/>
    <w:rsid w:val="008D1018"/>
    <w:rsid w:val="008D16C2"/>
    <w:rsid w:val="008D5460"/>
    <w:rsid w:val="008D5ED1"/>
    <w:rsid w:val="008E1F69"/>
    <w:rsid w:val="008E59A3"/>
    <w:rsid w:val="008F57D8"/>
    <w:rsid w:val="008F5D0C"/>
    <w:rsid w:val="00902834"/>
    <w:rsid w:val="009069AA"/>
    <w:rsid w:val="00911CE8"/>
    <w:rsid w:val="00914E26"/>
    <w:rsid w:val="0091590F"/>
    <w:rsid w:val="00920B0A"/>
    <w:rsid w:val="00920E23"/>
    <w:rsid w:val="0092540C"/>
    <w:rsid w:val="00925E0F"/>
    <w:rsid w:val="00926986"/>
    <w:rsid w:val="00931A57"/>
    <w:rsid w:val="009333FB"/>
    <w:rsid w:val="009414E6"/>
    <w:rsid w:val="00946D4F"/>
    <w:rsid w:val="00954E9B"/>
    <w:rsid w:val="009575C8"/>
    <w:rsid w:val="00957928"/>
    <w:rsid w:val="00960DA3"/>
    <w:rsid w:val="009643B6"/>
    <w:rsid w:val="00971591"/>
    <w:rsid w:val="00974564"/>
    <w:rsid w:val="00974E99"/>
    <w:rsid w:val="009764FA"/>
    <w:rsid w:val="00980192"/>
    <w:rsid w:val="009846A9"/>
    <w:rsid w:val="0098773E"/>
    <w:rsid w:val="00992700"/>
    <w:rsid w:val="0099291C"/>
    <w:rsid w:val="009934DF"/>
    <w:rsid w:val="00994A35"/>
    <w:rsid w:val="00994D97"/>
    <w:rsid w:val="00995229"/>
    <w:rsid w:val="00995B8C"/>
    <w:rsid w:val="009A0F4C"/>
    <w:rsid w:val="009A777B"/>
    <w:rsid w:val="009B5154"/>
    <w:rsid w:val="009B692C"/>
    <w:rsid w:val="009B785E"/>
    <w:rsid w:val="009C26F8"/>
    <w:rsid w:val="009C3A74"/>
    <w:rsid w:val="009C609E"/>
    <w:rsid w:val="009D016E"/>
    <w:rsid w:val="009D3BAF"/>
    <w:rsid w:val="009D4837"/>
    <w:rsid w:val="009D7895"/>
    <w:rsid w:val="009E16EC"/>
    <w:rsid w:val="009E4A4D"/>
    <w:rsid w:val="009E5C01"/>
    <w:rsid w:val="009E6688"/>
    <w:rsid w:val="009F081F"/>
    <w:rsid w:val="00A0234C"/>
    <w:rsid w:val="00A03CFD"/>
    <w:rsid w:val="00A04F81"/>
    <w:rsid w:val="00A11BFC"/>
    <w:rsid w:val="00A13E56"/>
    <w:rsid w:val="00A23D54"/>
    <w:rsid w:val="00A2430D"/>
    <w:rsid w:val="00A24838"/>
    <w:rsid w:val="00A25D54"/>
    <w:rsid w:val="00A31F08"/>
    <w:rsid w:val="00A326AC"/>
    <w:rsid w:val="00A337ED"/>
    <w:rsid w:val="00A4078E"/>
    <w:rsid w:val="00A4308C"/>
    <w:rsid w:val="00A549B3"/>
    <w:rsid w:val="00A64B1A"/>
    <w:rsid w:val="00A67CD7"/>
    <w:rsid w:val="00A70F46"/>
    <w:rsid w:val="00A72ED7"/>
    <w:rsid w:val="00A75648"/>
    <w:rsid w:val="00A90D86"/>
    <w:rsid w:val="00A9241B"/>
    <w:rsid w:val="00A976C0"/>
    <w:rsid w:val="00A97C44"/>
    <w:rsid w:val="00AA235F"/>
    <w:rsid w:val="00AA3E01"/>
    <w:rsid w:val="00AA46D0"/>
    <w:rsid w:val="00AB04DD"/>
    <w:rsid w:val="00AC33A2"/>
    <w:rsid w:val="00AD415E"/>
    <w:rsid w:val="00AD6D3F"/>
    <w:rsid w:val="00AE65F1"/>
    <w:rsid w:val="00AE6BB4"/>
    <w:rsid w:val="00AE74AD"/>
    <w:rsid w:val="00AF159C"/>
    <w:rsid w:val="00B01873"/>
    <w:rsid w:val="00B1156C"/>
    <w:rsid w:val="00B11E00"/>
    <w:rsid w:val="00B12C6E"/>
    <w:rsid w:val="00B17253"/>
    <w:rsid w:val="00B17BE0"/>
    <w:rsid w:val="00B22FCE"/>
    <w:rsid w:val="00B31A41"/>
    <w:rsid w:val="00B40199"/>
    <w:rsid w:val="00B46C50"/>
    <w:rsid w:val="00B502FF"/>
    <w:rsid w:val="00B53759"/>
    <w:rsid w:val="00B66EEA"/>
    <w:rsid w:val="00B67422"/>
    <w:rsid w:val="00B70BD4"/>
    <w:rsid w:val="00B71967"/>
    <w:rsid w:val="00B73463"/>
    <w:rsid w:val="00B74162"/>
    <w:rsid w:val="00B74FF0"/>
    <w:rsid w:val="00B755D3"/>
    <w:rsid w:val="00B76855"/>
    <w:rsid w:val="00B818EF"/>
    <w:rsid w:val="00B843AB"/>
    <w:rsid w:val="00B9016D"/>
    <w:rsid w:val="00B9146E"/>
    <w:rsid w:val="00B9212C"/>
    <w:rsid w:val="00BA0F98"/>
    <w:rsid w:val="00BA1517"/>
    <w:rsid w:val="00BA2427"/>
    <w:rsid w:val="00BA5214"/>
    <w:rsid w:val="00BA525E"/>
    <w:rsid w:val="00BA57E9"/>
    <w:rsid w:val="00BA67FD"/>
    <w:rsid w:val="00BA7C48"/>
    <w:rsid w:val="00BB34F1"/>
    <w:rsid w:val="00BC27F6"/>
    <w:rsid w:val="00BC39F4"/>
    <w:rsid w:val="00BC3CEA"/>
    <w:rsid w:val="00BC42F5"/>
    <w:rsid w:val="00BC4B12"/>
    <w:rsid w:val="00BC6B66"/>
    <w:rsid w:val="00BD0748"/>
    <w:rsid w:val="00BD5A37"/>
    <w:rsid w:val="00BD5F5F"/>
    <w:rsid w:val="00BD7EE1"/>
    <w:rsid w:val="00BE2581"/>
    <w:rsid w:val="00BE5568"/>
    <w:rsid w:val="00BF1358"/>
    <w:rsid w:val="00BF6D41"/>
    <w:rsid w:val="00C0106D"/>
    <w:rsid w:val="00C01453"/>
    <w:rsid w:val="00C06998"/>
    <w:rsid w:val="00C077AF"/>
    <w:rsid w:val="00C133BE"/>
    <w:rsid w:val="00C16218"/>
    <w:rsid w:val="00C222B4"/>
    <w:rsid w:val="00C330AD"/>
    <w:rsid w:val="00C35CF6"/>
    <w:rsid w:val="00C36028"/>
    <w:rsid w:val="00C417DC"/>
    <w:rsid w:val="00C42C0D"/>
    <w:rsid w:val="00C5073C"/>
    <w:rsid w:val="00C533EC"/>
    <w:rsid w:val="00C5418A"/>
    <w:rsid w:val="00C5470E"/>
    <w:rsid w:val="00C55EFB"/>
    <w:rsid w:val="00C56220"/>
    <w:rsid w:val="00C56585"/>
    <w:rsid w:val="00C56933"/>
    <w:rsid w:val="00C56B3F"/>
    <w:rsid w:val="00C61DDD"/>
    <w:rsid w:val="00C62163"/>
    <w:rsid w:val="00C7627B"/>
    <w:rsid w:val="00C773D9"/>
    <w:rsid w:val="00C80ACE"/>
    <w:rsid w:val="00C81162"/>
    <w:rsid w:val="00C83666"/>
    <w:rsid w:val="00C870B5"/>
    <w:rsid w:val="00C91630"/>
    <w:rsid w:val="00C955BE"/>
    <w:rsid w:val="00C95FF4"/>
    <w:rsid w:val="00C966EB"/>
    <w:rsid w:val="00C97546"/>
    <w:rsid w:val="00CA04B1"/>
    <w:rsid w:val="00CA18FD"/>
    <w:rsid w:val="00CA2DFC"/>
    <w:rsid w:val="00CA48E6"/>
    <w:rsid w:val="00CB03D4"/>
    <w:rsid w:val="00CB4F63"/>
    <w:rsid w:val="00CC2334"/>
    <w:rsid w:val="00CC35EF"/>
    <w:rsid w:val="00CC5048"/>
    <w:rsid w:val="00CC6246"/>
    <w:rsid w:val="00CD4C36"/>
    <w:rsid w:val="00CE2A1E"/>
    <w:rsid w:val="00CE5E46"/>
    <w:rsid w:val="00CF0FDE"/>
    <w:rsid w:val="00CF22B5"/>
    <w:rsid w:val="00CF2A39"/>
    <w:rsid w:val="00CF311D"/>
    <w:rsid w:val="00D03225"/>
    <w:rsid w:val="00D12F28"/>
    <w:rsid w:val="00D1463A"/>
    <w:rsid w:val="00D21C6A"/>
    <w:rsid w:val="00D30A9C"/>
    <w:rsid w:val="00D3700C"/>
    <w:rsid w:val="00D40847"/>
    <w:rsid w:val="00D43795"/>
    <w:rsid w:val="00D4402A"/>
    <w:rsid w:val="00D44A9B"/>
    <w:rsid w:val="00D47A1C"/>
    <w:rsid w:val="00D47CFE"/>
    <w:rsid w:val="00D561A6"/>
    <w:rsid w:val="00D653B1"/>
    <w:rsid w:val="00D65EF9"/>
    <w:rsid w:val="00D704D7"/>
    <w:rsid w:val="00D74AE1"/>
    <w:rsid w:val="00D77012"/>
    <w:rsid w:val="00D83F5B"/>
    <w:rsid w:val="00D865A8"/>
    <w:rsid w:val="00D92C2D"/>
    <w:rsid w:val="00D942EA"/>
    <w:rsid w:val="00DA0837"/>
    <w:rsid w:val="00DA09DA"/>
    <w:rsid w:val="00DA17CD"/>
    <w:rsid w:val="00DB25B3"/>
    <w:rsid w:val="00DB5155"/>
    <w:rsid w:val="00DD1DE5"/>
    <w:rsid w:val="00DE0893"/>
    <w:rsid w:val="00DE0F42"/>
    <w:rsid w:val="00DE2814"/>
    <w:rsid w:val="00DF172E"/>
    <w:rsid w:val="00DF68EA"/>
    <w:rsid w:val="00E01272"/>
    <w:rsid w:val="00E03846"/>
    <w:rsid w:val="00E07706"/>
    <w:rsid w:val="00E20A7D"/>
    <w:rsid w:val="00E27A2F"/>
    <w:rsid w:val="00E31F4B"/>
    <w:rsid w:val="00E36CD3"/>
    <w:rsid w:val="00E42A94"/>
    <w:rsid w:val="00E458BF"/>
    <w:rsid w:val="00E62428"/>
    <w:rsid w:val="00E6745D"/>
    <w:rsid w:val="00E706E7"/>
    <w:rsid w:val="00E714E1"/>
    <w:rsid w:val="00E8092C"/>
    <w:rsid w:val="00E82B9F"/>
    <w:rsid w:val="00E84229"/>
    <w:rsid w:val="00E84417"/>
    <w:rsid w:val="00E90E4E"/>
    <w:rsid w:val="00E9391E"/>
    <w:rsid w:val="00E93C3D"/>
    <w:rsid w:val="00E962F7"/>
    <w:rsid w:val="00E97DF2"/>
    <w:rsid w:val="00EA1052"/>
    <w:rsid w:val="00EA218F"/>
    <w:rsid w:val="00EA2D1E"/>
    <w:rsid w:val="00EA4F29"/>
    <w:rsid w:val="00EA5741"/>
    <w:rsid w:val="00EA5752"/>
    <w:rsid w:val="00EA5F83"/>
    <w:rsid w:val="00EA6F9D"/>
    <w:rsid w:val="00EB6F3C"/>
    <w:rsid w:val="00EC1E2C"/>
    <w:rsid w:val="00EC35DD"/>
    <w:rsid w:val="00EC59FA"/>
    <w:rsid w:val="00ED0CF1"/>
    <w:rsid w:val="00ED2A8D"/>
    <w:rsid w:val="00ED4039"/>
    <w:rsid w:val="00EE54CB"/>
    <w:rsid w:val="00EF1C54"/>
    <w:rsid w:val="00EF3A7B"/>
    <w:rsid w:val="00EF404B"/>
    <w:rsid w:val="00EF5BD9"/>
    <w:rsid w:val="00EF6243"/>
    <w:rsid w:val="00F00376"/>
    <w:rsid w:val="00F157E2"/>
    <w:rsid w:val="00F35F2D"/>
    <w:rsid w:val="00F527AC"/>
    <w:rsid w:val="00F55A27"/>
    <w:rsid w:val="00F575BD"/>
    <w:rsid w:val="00F57840"/>
    <w:rsid w:val="00F57B07"/>
    <w:rsid w:val="00F61D83"/>
    <w:rsid w:val="00F62207"/>
    <w:rsid w:val="00F65DD1"/>
    <w:rsid w:val="00F707B3"/>
    <w:rsid w:val="00F71135"/>
    <w:rsid w:val="00F725F1"/>
    <w:rsid w:val="00F752E1"/>
    <w:rsid w:val="00F7596E"/>
    <w:rsid w:val="00F75D61"/>
    <w:rsid w:val="00F83A53"/>
    <w:rsid w:val="00F90461"/>
    <w:rsid w:val="00F905E1"/>
    <w:rsid w:val="00FA0737"/>
    <w:rsid w:val="00FA37F7"/>
    <w:rsid w:val="00FA55F8"/>
    <w:rsid w:val="00FB1C7E"/>
    <w:rsid w:val="00FB6A3D"/>
    <w:rsid w:val="00FC1EB1"/>
    <w:rsid w:val="00FC378B"/>
    <w:rsid w:val="00FC3977"/>
    <w:rsid w:val="00FD2888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DFD7EF"/>
  <w15:docId w15:val="{A5E0C673-0779-453D-93E5-8DC4A8EE0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B79D8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Heading1separationline"/>
    <w:link w:val="Heading1Char"/>
    <w:qFormat/>
    <w:rsid w:val="0025010C"/>
    <w:pPr>
      <w:keepNext/>
      <w:keepLines/>
      <w:numPr>
        <w:numId w:val="3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Heading2separationline"/>
    <w:link w:val="Heading2Char"/>
    <w:qFormat/>
    <w:rsid w:val="0025010C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010C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010C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010C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010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25010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010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010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25010C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25010C"/>
    <w:rPr>
      <w:sz w:val="20"/>
      <w:lang w:val="en-GB"/>
    </w:rPr>
  </w:style>
  <w:style w:type="paragraph" w:styleId="Footer">
    <w:name w:val="footer"/>
    <w:link w:val="FooterChar"/>
    <w:rsid w:val="0025010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25010C"/>
    <w:rPr>
      <w:sz w:val="20"/>
      <w:lang w:val="en-GB"/>
    </w:rPr>
  </w:style>
  <w:style w:type="paragraph" w:styleId="BalloonText">
    <w:name w:val="Balloon Text"/>
    <w:basedOn w:val="Normal"/>
    <w:link w:val="BalloonTextChar"/>
    <w:rsid w:val="002501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010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250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25010C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25010C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25010C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25010C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rsid w:val="0025010C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25010C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25010C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25010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25010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25010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2501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25010C"/>
    <w:pPr>
      <w:numPr>
        <w:numId w:val="18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010C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BodyText"/>
    <w:rsid w:val="00BB34F1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010C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25010C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25010C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010C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DocumentHistory">
    <w:name w:val="Document History"/>
    <w:basedOn w:val="Header"/>
    <w:link w:val="DocumentHistoryChar"/>
    <w:rsid w:val="00BB34F1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25010C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010C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5010C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25010C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25010C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25010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Revisiontabletexttitle">
    <w:name w:val="Revision table text title"/>
    <w:basedOn w:val="Tabletext"/>
    <w:rsid w:val="0006154F"/>
    <w:rPr>
      <w:b/>
      <w:color w:val="00558C"/>
    </w:rPr>
  </w:style>
  <w:style w:type="table" w:styleId="MediumShading1">
    <w:name w:val="Medium Shading 1"/>
    <w:basedOn w:val="TableNormal"/>
    <w:uiPriority w:val="63"/>
    <w:rsid w:val="0025010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010C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25010C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010C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BB34F1"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rsid w:val="00BA57E9"/>
    <w:pPr>
      <w:numPr>
        <w:numId w:val="19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Footereditionno">
    <w:name w:val="Footer edition no."/>
    <w:basedOn w:val="Normal"/>
    <w:rsid w:val="0025010C"/>
    <w:pPr>
      <w:tabs>
        <w:tab w:val="right" w:pos="10206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2separationline"/>
    <w:qFormat/>
    <w:rsid w:val="0025010C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010C"/>
    <w:pPr>
      <w:numPr>
        <w:ilvl w:val="2"/>
        <w:numId w:val="2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010C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010C"/>
    <w:pPr>
      <w:numPr>
        <w:ilvl w:val="4"/>
      </w:numPr>
      <w:ind w:left="1701" w:hanging="1701"/>
    </w:pPr>
    <w:rPr>
      <w:b w:val="0"/>
    </w:rPr>
  </w:style>
  <w:style w:type="paragraph" w:styleId="BodyText">
    <w:name w:val="Body Text"/>
    <w:basedOn w:val="Normal"/>
    <w:link w:val="BodyTextChar"/>
    <w:unhideWhenUsed/>
    <w:qFormat/>
    <w:rsid w:val="0025010C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010C"/>
    <w:rPr>
      <w:lang w:val="en-GB"/>
    </w:rPr>
  </w:style>
  <w:style w:type="paragraph" w:customStyle="1" w:styleId="AppendixtitleHead1">
    <w:name w:val="Appendix title (Head 1)"/>
    <w:next w:val="BodyText"/>
    <w:qFormat/>
    <w:rsid w:val="0025010C"/>
    <w:pPr>
      <w:numPr>
        <w:numId w:val="2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sid w:val="0025010C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01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010C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0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5010C"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5010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InsetList">
    <w:name w:val="Inset List"/>
    <w:basedOn w:val="Normal"/>
    <w:qFormat/>
    <w:rsid w:val="0025010C"/>
    <w:pPr>
      <w:numPr>
        <w:numId w:val="6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rsid w:val="0025010C"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Caption"/>
    <w:next w:val="BodyText"/>
    <w:qFormat/>
    <w:rsid w:val="0025010C"/>
    <w:pPr>
      <w:numPr>
        <w:numId w:val="12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TOC4">
    <w:name w:val="toc 4"/>
    <w:basedOn w:val="Normal"/>
    <w:next w:val="Normal"/>
    <w:autoRedefine/>
    <w:uiPriority w:val="39"/>
    <w:unhideWhenUsed/>
    <w:rsid w:val="0025010C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customStyle="1" w:styleId="ListofFigures">
    <w:name w:val="List of Figures"/>
    <w:basedOn w:val="Normal"/>
    <w:next w:val="Normal"/>
    <w:rsid w:val="0025010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unhideWhenUsed/>
    <w:rsid w:val="0025010C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010C"/>
    <w:rPr>
      <w:sz w:val="18"/>
      <w:szCs w:val="24"/>
      <w:vertAlign w:val="superscript"/>
      <w:lang w:val="en-GB"/>
    </w:rPr>
  </w:style>
  <w:style w:type="character" w:styleId="FootnoteReference">
    <w:name w:val="footnote reference"/>
    <w:uiPriority w:val="99"/>
    <w:rsid w:val="0025010C"/>
    <w:rPr>
      <w:rFonts w:asciiTheme="minorHAnsi" w:hAnsiTheme="minorHAnsi"/>
      <w:sz w:val="20"/>
      <w:vertAlign w:val="superscript"/>
    </w:rPr>
  </w:style>
  <w:style w:type="paragraph" w:customStyle="1" w:styleId="RecommendationListatext">
    <w:name w:val="Recommendation List a text"/>
    <w:basedOn w:val="Normal"/>
    <w:qFormat/>
    <w:rsid w:val="008675C6"/>
    <w:pPr>
      <w:spacing w:after="120"/>
      <w:ind w:left="1559"/>
    </w:pPr>
    <w:rPr>
      <w:sz w:val="24"/>
    </w:rPr>
  </w:style>
  <w:style w:type="character" w:styleId="PageNumber">
    <w:name w:val="page number"/>
    <w:rsid w:val="0025010C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25010C"/>
    <w:pPr>
      <w:numPr>
        <w:numId w:val="4"/>
      </w:numPr>
    </w:pPr>
  </w:style>
  <w:style w:type="paragraph" w:styleId="TOC5">
    <w:name w:val="toc 5"/>
    <w:basedOn w:val="Normal"/>
    <w:next w:val="Normal"/>
    <w:autoRedefine/>
    <w:uiPriority w:val="39"/>
    <w:rsid w:val="0025010C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010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010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010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010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rsid w:val="0006154F"/>
    <w:pPr>
      <w:spacing w:before="240" w:after="360" w:line="240" w:lineRule="auto"/>
      <w:jc w:val="both"/>
    </w:pPr>
    <w:rPr>
      <w:rFonts w:eastAsia="Times New Roman" w:cs="Times New Roman"/>
      <w:b/>
      <w:color w:val="009FE3" w:themeColor="accent2"/>
      <w:sz w:val="48"/>
      <w:szCs w:val="24"/>
    </w:rPr>
  </w:style>
  <w:style w:type="character" w:customStyle="1" w:styleId="Bullet2Char">
    <w:name w:val="Bullet 2 Char"/>
    <w:basedOn w:val="DefaultParagraphFont"/>
    <w:link w:val="Bullet2"/>
    <w:rsid w:val="00BA57E9"/>
    <w:rPr>
      <w:color w:val="000000" w:themeColor="text1"/>
      <w:lang w:val="en-GB"/>
    </w:rPr>
  </w:style>
  <w:style w:type="paragraph" w:customStyle="1" w:styleId="Bullet2text">
    <w:name w:val="Bullet 2 text"/>
    <w:basedOn w:val="Normal"/>
    <w:qFormat/>
    <w:rsid w:val="0025010C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rsid w:val="0025010C"/>
    <w:pPr>
      <w:spacing w:after="120"/>
      <w:ind w:left="1134"/>
    </w:pPr>
    <w:rPr>
      <w:sz w:val="22"/>
    </w:rPr>
  </w:style>
  <w:style w:type="paragraph" w:styleId="DocumentMap">
    <w:name w:val="Document Map"/>
    <w:basedOn w:val="Normal"/>
    <w:link w:val="DocumentMapChar"/>
    <w:rsid w:val="0025010C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010C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010C"/>
    <w:rPr>
      <w:color w:val="800080"/>
      <w:u w:val="single"/>
    </w:rPr>
  </w:style>
  <w:style w:type="paragraph" w:customStyle="1" w:styleId="Tableoftables">
    <w:name w:val="Table of tables"/>
    <w:basedOn w:val="TableofFigures"/>
    <w:rsid w:val="00BB34F1"/>
    <w:pPr>
      <w:tabs>
        <w:tab w:val="left" w:pos="1134"/>
        <w:tab w:val="right" w:pos="9781"/>
      </w:tabs>
    </w:pPr>
  </w:style>
  <w:style w:type="character" w:styleId="Emphasis">
    <w:name w:val="Emphasis"/>
    <w:rsid w:val="0025010C"/>
    <w:rPr>
      <w:i/>
      <w:iCs/>
    </w:rPr>
  </w:style>
  <w:style w:type="character" w:styleId="HTMLCite">
    <w:name w:val="HTML Cite"/>
    <w:rsid w:val="0025010C"/>
    <w:rPr>
      <w:i/>
      <w:iCs/>
    </w:rPr>
  </w:style>
  <w:style w:type="paragraph" w:customStyle="1" w:styleId="Equationnumber">
    <w:name w:val="Equation number"/>
    <w:basedOn w:val="BodyText"/>
    <w:next w:val="BodyText"/>
    <w:link w:val="EquationnumberChar"/>
    <w:qFormat/>
    <w:rsid w:val="0025010C"/>
    <w:pPr>
      <w:numPr>
        <w:numId w:val="17"/>
      </w:numPr>
      <w:spacing w:before="60"/>
      <w:jc w:val="right"/>
    </w:pPr>
  </w:style>
  <w:style w:type="paragraph" w:customStyle="1" w:styleId="TableofAppendices">
    <w:name w:val="Table of Appendices"/>
    <w:basedOn w:val="TableofFigures"/>
    <w:next w:val="BodyText"/>
    <w:rsid w:val="00BB34F1"/>
  </w:style>
  <w:style w:type="paragraph" w:customStyle="1" w:styleId="Default">
    <w:name w:val="Default"/>
    <w:rsid w:val="002501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25010C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010C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010C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010C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010C"/>
    <w:rPr>
      <w:color w:val="000000" w:themeColor="text1"/>
      <w:lang w:val="en-GB"/>
    </w:rPr>
  </w:style>
  <w:style w:type="paragraph" w:customStyle="1" w:styleId="Figurecaption">
    <w:name w:val="Figure caption"/>
    <w:basedOn w:val="Caption"/>
    <w:next w:val="BodyText"/>
    <w:qFormat/>
    <w:rsid w:val="0025010C"/>
    <w:pPr>
      <w:numPr>
        <w:numId w:val="5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TableofFigures"/>
    <w:next w:val="Normal"/>
    <w:rsid w:val="00BB34F1"/>
  </w:style>
  <w:style w:type="paragraph" w:styleId="NoSpacing">
    <w:name w:val="No Spacing"/>
    <w:uiPriority w:val="1"/>
    <w:rsid w:val="0025010C"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Normal"/>
    <w:rsid w:val="0025010C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25010C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rsid w:val="0025010C"/>
    <w:pPr>
      <w:numPr>
        <w:numId w:val="2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odyText"/>
    <w:qFormat/>
    <w:rsid w:val="00BB34F1"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rsid w:val="00BB34F1"/>
    <w:pPr>
      <w:tabs>
        <w:tab w:val="num" w:pos="0"/>
      </w:tabs>
      <w:spacing w:after="120" w:line="240" w:lineRule="auto"/>
      <w:ind w:left="567" w:hanging="567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25010C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25010C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25010C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25010C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010C"/>
    <w:pPr>
      <w:ind w:left="0" w:right="0"/>
    </w:pPr>
    <w:rPr>
      <w:b w:val="0"/>
      <w:color w:val="00558C"/>
    </w:rPr>
  </w:style>
  <w:style w:type="paragraph" w:customStyle="1" w:styleId="Listi-recommendation">
    <w:name w:val="List i - recommendation"/>
    <w:basedOn w:val="Normal"/>
    <w:rsid w:val="00BB34F1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rsid w:val="0025010C"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rsid w:val="0025010C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ionline"/>
    <w:rsid w:val="0025010C"/>
    <w:pPr>
      <w:ind w:right="14317"/>
    </w:pPr>
  </w:style>
  <w:style w:type="paragraph" w:customStyle="1" w:styleId="RecommendationList1">
    <w:name w:val="Recommendation List 1"/>
    <w:basedOn w:val="Normal"/>
    <w:qFormat/>
    <w:rsid w:val="00BB34F1"/>
    <w:pPr>
      <w:numPr>
        <w:numId w:val="8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rsid w:val="00BB34F1"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odyText"/>
    <w:link w:val="FurtherreadingChar"/>
    <w:qFormat/>
    <w:rsid w:val="0025010C"/>
    <w:pPr>
      <w:numPr>
        <w:numId w:val="21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010C"/>
    <w:rPr>
      <w:lang w:val="en-GB"/>
    </w:rPr>
  </w:style>
  <w:style w:type="paragraph" w:styleId="BodyText3">
    <w:name w:val="Body Text 3"/>
    <w:basedOn w:val="Normal"/>
    <w:link w:val="BodyText3Char"/>
    <w:unhideWhenUsed/>
    <w:rsid w:val="00093A1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093A12"/>
    <w:rPr>
      <w:sz w:val="16"/>
      <w:szCs w:val="16"/>
      <w:lang w:val="en-GB"/>
    </w:rPr>
  </w:style>
  <w:style w:type="paragraph" w:customStyle="1" w:styleId="List1">
    <w:name w:val="List 1"/>
    <w:basedOn w:val="Normal"/>
    <w:qFormat/>
    <w:rsid w:val="0025010C"/>
    <w:pPr>
      <w:numPr>
        <w:numId w:val="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25010C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rsid w:val="008675C6"/>
    <w:pPr>
      <w:numPr>
        <w:ilvl w:val="1"/>
        <w:numId w:val="8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rsid w:val="0025010C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Documentdate"/>
    <w:link w:val="RevokesChar"/>
    <w:rsid w:val="0025010C"/>
    <w:rPr>
      <w:i/>
    </w:rPr>
  </w:style>
  <w:style w:type="paragraph" w:customStyle="1" w:styleId="Style1">
    <w:name w:val="Style1"/>
    <w:basedOn w:val="Tableheading"/>
    <w:rsid w:val="0025010C"/>
  </w:style>
  <w:style w:type="paragraph" w:customStyle="1" w:styleId="Listi">
    <w:name w:val="List i"/>
    <w:basedOn w:val="Listitext"/>
    <w:qFormat/>
    <w:rsid w:val="0025010C"/>
    <w:pPr>
      <w:numPr>
        <w:ilvl w:val="2"/>
        <w:numId w:val="9"/>
      </w:numPr>
      <w:ind w:left="1701" w:hanging="425"/>
    </w:pPr>
  </w:style>
  <w:style w:type="character" w:styleId="PlaceholderText">
    <w:name w:val="Placeholder Text"/>
    <w:basedOn w:val="DefaultParagraphFont"/>
    <w:uiPriority w:val="99"/>
    <w:semiHidden/>
    <w:rsid w:val="0025010C"/>
    <w:rPr>
      <w:color w:val="808080"/>
    </w:rPr>
  </w:style>
  <w:style w:type="paragraph" w:styleId="Title">
    <w:name w:val="Title"/>
    <w:basedOn w:val="Normal"/>
    <w:link w:val="TitleChar"/>
    <w:rsid w:val="0025010C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25010C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customStyle="1" w:styleId="MRN">
    <w:name w:val="MRN"/>
    <w:basedOn w:val="Normal"/>
    <w:link w:val="MRNChar"/>
    <w:rsid w:val="0025010C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010C"/>
    <w:rPr>
      <w:b/>
      <w:color w:val="00558C"/>
      <w:sz w:val="28"/>
      <w:lang w:val="en-GB"/>
    </w:rPr>
  </w:style>
  <w:style w:type="paragraph" w:customStyle="1" w:styleId="AnnextitleHead10">
    <w:name w:val="Annex title Head 1"/>
    <w:basedOn w:val="Normal"/>
    <w:next w:val="BodyText"/>
    <w:link w:val="AnnextitleHead1Char"/>
    <w:rsid w:val="00FB1C7E"/>
    <w:p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DefaultParagraphFont"/>
    <w:link w:val="AnnextitleHead10"/>
    <w:rsid w:val="00FB1C7E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rsid w:val="0006154F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odyTextChar"/>
    <w:link w:val="Equationnumber"/>
    <w:rsid w:val="0025010C"/>
    <w:rPr>
      <w:lang w:val="en-GB"/>
    </w:rPr>
  </w:style>
  <w:style w:type="character" w:customStyle="1" w:styleId="DocumentHistoryChar">
    <w:name w:val="Document History Char"/>
    <w:basedOn w:val="HeaderChar"/>
    <w:link w:val="DocumentHistory"/>
    <w:rsid w:val="008904CE"/>
    <w:rPr>
      <w:b/>
      <w:caps/>
      <w:color w:val="009FE3" w:themeColor="accent2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sid w:val="0006154F"/>
    <w:rPr>
      <w:b/>
      <w:caps/>
      <w:color w:val="009FE3" w:themeColor="accent2"/>
      <w:sz w:val="40"/>
      <w:szCs w:val="56"/>
      <w:lang w:val="en-GB"/>
    </w:rPr>
  </w:style>
  <w:style w:type="paragraph" w:styleId="ListNumber">
    <w:name w:val="List Number"/>
    <w:basedOn w:val="Normal"/>
    <w:semiHidden/>
    <w:rsid w:val="0025010C"/>
    <w:pPr>
      <w:numPr>
        <w:numId w:val="38"/>
      </w:numPr>
      <w:contextualSpacing/>
    </w:pPr>
  </w:style>
  <w:style w:type="character" w:customStyle="1" w:styleId="RECALLING">
    <w:name w:val="RECALLING"/>
    <w:basedOn w:val="DefaultParagraphFont"/>
    <w:uiPriority w:val="1"/>
    <w:qFormat/>
    <w:rsid w:val="00AA235F"/>
    <w:rPr>
      <w:rFonts w:asciiTheme="minorHAnsi" w:hAnsiTheme="minorHAnsi"/>
      <w:b/>
      <w:caps/>
      <w:smallCaps w:val="0"/>
      <w:sz w:val="24"/>
    </w:rPr>
  </w:style>
  <w:style w:type="paragraph" w:customStyle="1" w:styleId="Heading1separationline">
    <w:name w:val="Heading 1 separation line"/>
    <w:basedOn w:val="Normal"/>
    <w:next w:val="BodyText"/>
    <w:rsid w:val="0025010C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Contents">
    <w:name w:val="Contents"/>
    <w:basedOn w:val="Header"/>
    <w:rsid w:val="0025010C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Doicumentrevisiontabletitle">
    <w:name w:val="Doicument revision table title"/>
    <w:basedOn w:val="Tabletext"/>
    <w:rsid w:val="0025010C"/>
    <w:rPr>
      <w:b/>
      <w:color w:val="00558C"/>
    </w:rPr>
  </w:style>
  <w:style w:type="paragraph" w:customStyle="1" w:styleId="AnnextitleHead1">
    <w:name w:val="Annex title (Head 1)"/>
    <w:next w:val="BodyText"/>
    <w:link w:val="AnnextitleHead1Char0"/>
    <w:qFormat/>
    <w:rsid w:val="00D4402A"/>
    <w:pPr>
      <w:numPr>
        <w:numId w:val="46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titleHead1Char0">
    <w:name w:val="Annex title (Head 1) Char"/>
    <w:basedOn w:val="DefaultParagraphFont"/>
    <w:link w:val="AnnextitleHead1"/>
    <w:rsid w:val="00D4402A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rsid w:val="0025010C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rsid w:val="0025010C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rsid w:val="0025010C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rsid w:val="0025010C"/>
    <w:p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customStyle="1" w:styleId="TableofTables0">
    <w:name w:val="Table of Tables"/>
    <w:basedOn w:val="TableofFigures"/>
    <w:rsid w:val="0025010C"/>
    <w:pPr>
      <w:tabs>
        <w:tab w:val="left" w:pos="1134"/>
        <w:tab w:val="right" w:pos="9781"/>
      </w:tabs>
    </w:pPr>
  </w:style>
  <w:style w:type="paragraph" w:customStyle="1" w:styleId="AnnexTablecaption">
    <w:name w:val="Annex Table caption"/>
    <w:basedOn w:val="BodyText"/>
    <w:qFormat/>
    <w:rsid w:val="0025010C"/>
    <w:pPr>
      <w:numPr>
        <w:numId w:val="42"/>
      </w:numPr>
      <w:jc w:val="center"/>
    </w:pPr>
    <w:rPr>
      <w:i/>
      <w:color w:val="00558C"/>
      <w:lang w:eastAsia="en-GB"/>
    </w:rPr>
  </w:style>
  <w:style w:type="paragraph" w:customStyle="1" w:styleId="Style2">
    <w:name w:val="Style2"/>
    <w:basedOn w:val="TOC3"/>
    <w:autoRedefine/>
    <w:rsid w:val="0025010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25010C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Normal"/>
    <w:autoRedefine/>
    <w:rsid w:val="0025010C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010C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character" w:customStyle="1" w:styleId="RevokesChar">
    <w:name w:val="Revokes Char"/>
    <w:basedOn w:val="DefaultParagraphFont"/>
    <w:link w:val="Revokes"/>
    <w:rsid w:val="0025010C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rsid w:val="0025010C"/>
    <w:pPr>
      <w:numPr>
        <w:numId w:val="10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Documentrevisiontabletitle">
    <w:name w:val="Document revision table title"/>
    <w:basedOn w:val="Normal"/>
    <w:rsid w:val="0025010C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010C"/>
    <w:pPr>
      <w:numPr>
        <w:numId w:val="40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25010C"/>
    <w:rPr>
      <w:i/>
      <w:color w:val="00558C"/>
      <w:lang w:val="en-GB" w:eastAsia="en-GB"/>
    </w:rPr>
  </w:style>
  <w:style w:type="paragraph" w:styleId="Index1">
    <w:name w:val="index 1"/>
    <w:basedOn w:val="Normal"/>
    <w:next w:val="Normal"/>
    <w:autoRedefine/>
    <w:semiHidden/>
    <w:unhideWhenUsed/>
    <w:rsid w:val="0025010C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010C"/>
    <w:pPr>
      <w:numPr>
        <w:numId w:val="4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010C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010C"/>
    <w:rPr>
      <w:i/>
      <w:lang w:val="en-GB"/>
    </w:rPr>
  </w:style>
  <w:style w:type="paragraph" w:customStyle="1" w:styleId="p1">
    <w:name w:val="p1"/>
    <w:basedOn w:val="Normal"/>
    <w:rsid w:val="007C7EC8"/>
    <w:pPr>
      <w:spacing w:line="240" w:lineRule="auto"/>
    </w:pPr>
    <w:rPr>
      <w:rFonts w:ascii="Helvetica" w:eastAsia="Times New Roman" w:hAnsi="Helvetica" w:cs="Times New Roman"/>
      <w:color w:val="000000"/>
      <w:szCs w:val="18"/>
      <w:lang w:val="en-US"/>
    </w:rPr>
  </w:style>
  <w:style w:type="character" w:customStyle="1" w:styleId="s1">
    <w:name w:val="s1"/>
    <w:basedOn w:val="DefaultParagraphFont"/>
    <w:rsid w:val="007C7EC8"/>
    <w:rPr>
      <w:rFonts w:ascii="Arial" w:hAnsi="Arial" w:cs="Arial" w:hint="default"/>
      <w:sz w:val="18"/>
      <w:szCs w:val="18"/>
    </w:rPr>
  </w:style>
  <w:style w:type="paragraph" w:styleId="ListParagraph">
    <w:name w:val="List Paragraph"/>
    <w:basedOn w:val="Normal"/>
    <w:uiPriority w:val="34"/>
    <w:rsid w:val="000A4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comments" Target="comments.xm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33" Type="http://schemas.openxmlformats.org/officeDocument/2006/relationships/header" Target="header15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8/08/relationships/commentsExtensible" Target="commentsExtensible.xml"/><Relationship Id="rId32" Type="http://schemas.openxmlformats.org/officeDocument/2006/relationships/header" Target="header14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6/09/relationships/commentsIds" Target="commentsIds.xml"/><Relationship Id="rId28" Type="http://schemas.openxmlformats.org/officeDocument/2006/relationships/header" Target="header10.xm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header" Target="header1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1/relationships/commentsExtended" Target="commentsExtended.xml"/><Relationship Id="rId27" Type="http://schemas.openxmlformats.org/officeDocument/2006/relationships/header" Target="header9.xml"/><Relationship Id="rId30" Type="http://schemas.openxmlformats.org/officeDocument/2006/relationships/header" Target="header12.xml"/><Relationship Id="rId35" Type="http://schemas.microsoft.com/office/2011/relationships/people" Target="people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ocuments\Download\Rxxxx%20Template%20for%20IALA%20Recommendation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E85517-A59C-4E24-84FE-980682EB487C}"/>
</file>

<file path=customXml/itemProps2.xml><?xml version="1.0" encoding="utf-8"?>
<ds:datastoreItem xmlns:ds="http://schemas.openxmlformats.org/officeDocument/2006/customXml" ds:itemID="{19DF1A5E-CF9A-4BA5-BF20-B7676B882E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18D5C5-7E7D-4358-BD8B-0A9233452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1AAD7E-6356-41CA-BAE5-2D3775925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C:\_Documents\Download\Rxxxx Template for IALA Recommendations Ed 2.1 August 2021.dotm</Template>
  <TotalTime>319</TotalTime>
  <Pages>7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Macro Enabled Template</vt:lpstr>
    </vt:vector>
  </TitlesOfParts>
  <Manager>IALA</Manager>
  <Company>IALA</Company>
  <LinksUpToDate>false</LinksUpToDate>
  <CharactersWithSpaces>6881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Macro Enabled Template</dc:title>
  <dc:subject>IALA</dc:subject>
  <dc:creator>Omar Frits Eriksson</dc:creator>
  <cp:keywords/>
  <dc:description/>
  <cp:lastModifiedBy>Stefan Pielmeier</cp:lastModifiedBy>
  <cp:revision>26</cp:revision>
  <dcterms:created xsi:type="dcterms:W3CDTF">2021-09-03T13:54:00Z</dcterms:created>
  <dcterms:modified xsi:type="dcterms:W3CDTF">2025-09-18T06:52:00Z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